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HOMEPAGE BUILD BLUEPRINT</w:t>
      </w:r>
    </w:p>
    <w:p>
      <w:pPr>
        <w:jc w:val="center"/>
      </w:pPr>
      <w:r>
        <w:rPr>
          <w:i/>
        </w:rPr>
        <w:t>Screen-by-screen developer handoff • Locked six-service architecture • AI Concierge hero</w:t>
        <w:br/>
        <w:t>Version 1.0 • 15 August 2026</w:t>
      </w:r>
    </w:p>
    <w:p>
      <w:pPr>
        <w:pStyle w:val="Heading1"/>
      </w:pPr>
      <w:r>
        <w:t>1. Build objective</w:t>
      </w:r>
    </w:p>
    <w:p>
      <w:r>
        <w:t>Build the ASOJU homepage as the primary brand presentation and first product interaction. The visitor must understand ASOJU quickly, see the six service families, trust the representation model and begin the AI Concierge without signing in.</w:t>
      </w:r>
    </w:p>
    <w:p>
      <w:r>
        <w:t>The homepage is not a generic brochure. The Concierge is the primary conversion mechanism and must be treated as a first-class product component.</w:t>
      </w:r>
    </w:p>
    <w:p>
      <w:pPr>
        <w:pStyle w:val="Heading1"/>
      </w:pPr>
      <w:r>
        <w:t>2. Locked navigation</w:t>
      </w:r>
    </w:p>
    <w:tbl>
      <w:tblPr>
        <w:tblStyle w:val="TableGrid"/>
        <w:tblW w:type="auto" w:w="0"/>
        <w:tblLook w:firstColumn="1" w:firstRow="1" w:lastColumn="0" w:lastRow="0" w:noHBand="0" w:noVBand="1" w:val="04A0"/>
      </w:tblPr>
      <w:tblGrid>
        <w:gridCol w:w="3408"/>
        <w:gridCol w:w="3408"/>
        <w:gridCol w:w="3408"/>
      </w:tblGrid>
      <w:tr>
        <w:tc>
          <w:tcPr>
            <w:tcW w:type="dxa" w:w="3408"/>
          </w:tcPr>
          <w:p>
            <w:r>
              <w:t>Position</w:t>
            </w:r>
          </w:p>
        </w:tc>
        <w:tc>
          <w:tcPr>
            <w:tcW w:type="dxa" w:w="3408"/>
          </w:tcPr>
          <w:p>
            <w:r>
              <w:t>Label</w:t>
            </w:r>
          </w:p>
        </w:tc>
        <w:tc>
          <w:tcPr>
            <w:tcW w:type="dxa" w:w="3408"/>
          </w:tcPr>
          <w:p>
            <w:r>
              <w:t>Interaction</w:t>
            </w:r>
          </w:p>
        </w:tc>
      </w:tr>
      <w:tr>
        <w:tc>
          <w:tcPr>
            <w:tcW w:type="dxa" w:w="3408"/>
          </w:tcPr>
          <w:p>
            <w:r>
              <w:t>1</w:t>
            </w:r>
          </w:p>
        </w:tc>
        <w:tc>
          <w:tcPr>
            <w:tcW w:type="dxa" w:w="3408"/>
          </w:tcPr>
          <w:p>
            <w:r>
              <w:t>Services ▾</w:t>
            </w:r>
          </w:p>
        </w:tc>
        <w:tc>
          <w:tcPr>
            <w:tcW w:type="dxa" w:w="3408"/>
          </w:tcPr>
          <w:p>
            <w:r>
              <w:t>Six-service dropdown/mega-menu.</w:t>
            </w:r>
          </w:p>
        </w:tc>
      </w:tr>
      <w:tr>
        <w:tc>
          <w:tcPr>
            <w:tcW w:type="dxa" w:w="3408"/>
          </w:tcPr>
          <w:p>
            <w:r>
              <w:t>2</w:t>
            </w:r>
          </w:p>
        </w:tc>
        <w:tc>
          <w:tcPr>
            <w:tcW w:type="dxa" w:w="3408"/>
          </w:tcPr>
          <w:p>
            <w:r>
              <w:t>How It Works</w:t>
            </w:r>
          </w:p>
        </w:tc>
        <w:tc>
          <w:tcPr>
            <w:tcW w:type="dxa" w:w="3408"/>
          </w:tcPr>
          <w:p>
            <w:r>
              <w:t>Scroll or route to process explanation.</w:t>
            </w:r>
          </w:p>
        </w:tc>
      </w:tr>
      <w:tr>
        <w:tc>
          <w:tcPr>
            <w:tcW w:type="dxa" w:w="3408"/>
          </w:tcPr>
          <w:p>
            <w:r>
              <w:t>3</w:t>
            </w:r>
          </w:p>
        </w:tc>
        <w:tc>
          <w:tcPr>
            <w:tcW w:type="dxa" w:w="3408"/>
          </w:tcPr>
          <w:p>
            <w:r>
              <w:t>Why ASOJU</w:t>
            </w:r>
          </w:p>
        </w:tc>
        <w:tc>
          <w:tcPr>
            <w:tcW w:type="dxa" w:w="3408"/>
          </w:tcPr>
          <w:p>
            <w:r>
              <w:t>Scroll or route to trust/accountability explanation.</w:t>
            </w:r>
          </w:p>
        </w:tc>
      </w:tr>
      <w:tr>
        <w:tc>
          <w:tcPr>
            <w:tcW w:type="dxa" w:w="3408"/>
          </w:tcPr>
          <w:p>
            <w:r>
              <w:t>4</w:t>
            </w:r>
          </w:p>
        </w:tc>
        <w:tc>
          <w:tcPr>
            <w:tcW w:type="dxa" w:w="3408"/>
          </w:tcPr>
          <w:p>
            <w:r>
              <w:t>Trust</w:t>
            </w:r>
          </w:p>
        </w:tc>
        <w:tc>
          <w:tcPr>
            <w:tcW w:type="dxa" w:w="3408"/>
          </w:tcPr>
          <w:p>
            <w:r>
              <w:t>Approved public proof.</w:t>
            </w:r>
          </w:p>
        </w:tc>
      </w:tr>
      <w:tr>
        <w:tc>
          <w:tcPr>
            <w:tcW w:type="dxa" w:w="3408"/>
          </w:tcPr>
          <w:p>
            <w:r>
              <w:t>5</w:t>
            </w:r>
          </w:p>
        </w:tc>
        <w:tc>
          <w:tcPr>
            <w:tcW w:type="dxa" w:w="3408"/>
          </w:tcPr>
          <w:p>
            <w:r>
              <w:t>Resources</w:t>
            </w:r>
          </w:p>
        </w:tc>
        <w:tc>
          <w:tcPr>
            <w:tcW w:type="dxa" w:w="3408"/>
          </w:tcPr>
          <w:p>
            <w:r>
              <w:t>Educational content.</w:t>
            </w:r>
          </w:p>
        </w:tc>
      </w:tr>
      <w:tr>
        <w:tc>
          <w:tcPr>
            <w:tcW w:type="dxa" w:w="3408"/>
          </w:tcPr>
          <w:p>
            <w:r>
              <w:t>6</w:t>
            </w:r>
          </w:p>
        </w:tc>
        <w:tc>
          <w:tcPr>
            <w:tcW w:type="dxa" w:w="3408"/>
          </w:tcPr>
          <w:p>
            <w:r>
              <w:t>Sign In</w:t>
            </w:r>
          </w:p>
        </w:tc>
        <w:tc>
          <w:tcPr>
            <w:tcW w:type="dxa" w:w="3408"/>
          </w:tcPr>
          <w:p>
            <w:r>
              <w:t>Authentication.</w:t>
            </w:r>
          </w:p>
        </w:tc>
      </w:tr>
      <w:tr>
        <w:tc>
          <w:tcPr>
            <w:tcW w:type="dxa" w:w="3408"/>
          </w:tcPr>
          <w:p>
            <w:r>
              <w:t>7</w:t>
            </w:r>
          </w:p>
        </w:tc>
        <w:tc>
          <w:tcPr>
            <w:tcW w:type="dxa" w:w="3408"/>
          </w:tcPr>
          <w:p>
            <w:r>
              <w:t>Get Started</w:t>
            </w:r>
          </w:p>
        </w:tc>
        <w:tc>
          <w:tcPr>
            <w:tcW w:type="dxa" w:w="3408"/>
          </w:tcPr>
          <w:p>
            <w:r>
              <w:t>Open Concierge/request flow.</w:t>
            </w:r>
          </w:p>
        </w:tc>
      </w:tr>
    </w:tbl>
    <w:p>
      <w:r>
        <w:t>Services are locked to exactly: ASOJU Arrivals, ASOJU Inspect, ASOJU Build, ASOJU Care, ASOJU Verify, ASOJU Assist. Do not add Farewell.</w:t>
      </w:r>
    </w:p>
    <w:p>
      <w:pPr>
        <w:pStyle w:val="Heading1"/>
      </w:pPr>
      <w:r>
        <w:t>3. Homepage component tree</w:t>
      </w:r>
    </w:p>
    <w:p>
      <w:r>
        <w:t>Recommended component hierarchy:</w:t>
      </w:r>
    </w:p>
    <w:p>
      <w:pPr>
        <w:pStyle w:val="ListBullet"/>
      </w:pPr>
      <w:r>
        <w:t>AppShell</w:t>
      </w:r>
    </w:p>
    <w:p>
      <w:pPr>
        <w:pStyle w:val="ListBullet"/>
      </w:pPr>
      <w:r>
        <w:t>Header</w:t>
      </w:r>
    </w:p>
    <w:p>
      <w:pPr>
        <w:pStyle w:val="ListBullet"/>
      </w:pPr>
      <w:r>
        <w:t>ServicesMenu</w:t>
      </w:r>
    </w:p>
    <w:p>
      <w:pPr>
        <w:pStyle w:val="ListBullet"/>
      </w:pPr>
      <w:r>
        <w:t>HeroSection</w:t>
      </w:r>
    </w:p>
    <w:p>
      <w:pPr>
        <w:pStyle w:val="ListBullet"/>
      </w:pPr>
      <w:r>
        <w:t>ConciergePanel</w:t>
      </w:r>
    </w:p>
    <w:p>
      <w:pPr>
        <w:pStyle w:val="ListBullet"/>
      </w:pPr>
      <w:r>
        <w:t>TrustStrip</w:t>
      </w:r>
    </w:p>
    <w:p>
      <w:pPr>
        <w:pStyle w:val="ListBullet"/>
      </w:pPr>
      <w:r>
        <w:t>ServicesSection</w:t>
      </w:r>
    </w:p>
    <w:p>
      <w:pPr>
        <w:pStyle w:val="ListBullet"/>
      </w:pPr>
      <w:r>
        <w:t>RepresentationSection</w:t>
      </w:r>
    </w:p>
    <w:p>
      <w:pPr>
        <w:pStyle w:val="ListBullet"/>
      </w:pPr>
      <w:r>
        <w:t>HowItWorksSection</w:t>
      </w:r>
    </w:p>
    <w:p>
      <w:pPr>
        <w:pStyle w:val="ListBullet"/>
      </w:pPr>
      <w:r>
        <w:t>WhyASOJUSection</w:t>
      </w:r>
    </w:p>
    <w:p>
      <w:pPr>
        <w:pStyle w:val="ListBullet"/>
      </w:pPr>
      <w:r>
        <w:t>TrustProofSection</w:t>
      </w:r>
    </w:p>
    <w:p>
      <w:pPr>
        <w:pStyle w:val="ListBullet"/>
      </w:pPr>
      <w:r>
        <w:t>DiasporaSection</w:t>
      </w:r>
    </w:p>
    <w:p>
      <w:pPr>
        <w:pStyle w:val="ListBullet"/>
      </w:pPr>
      <w:r>
        <w:t>FinalConciergeCTA</w:t>
      </w:r>
    </w:p>
    <w:p>
      <w:pPr>
        <w:pStyle w:val="ListBullet"/>
      </w:pPr>
      <w:r>
        <w:t>Footer</w:t>
      </w:r>
    </w:p>
    <w:p>
      <w:r>
        <w:t>The exact component names may be adapted to the repository's conventions. The hierarchy is the functional target.</w:t>
      </w:r>
    </w:p>
    <w:p>
      <w:pPr>
        <w:pStyle w:val="Heading1"/>
      </w:pPr>
      <w:r>
        <w:t>4. Screen / section specification</w:t>
      </w:r>
    </w:p>
    <w:p>
      <w:pPr>
        <w:pStyle w:val="Heading2"/>
      </w:pPr>
      <w:r>
        <w:t>4.1 Header</w:t>
      </w:r>
    </w:p>
    <w:p>
      <w:pPr>
        <w:pStyle w:val="ListBullet"/>
      </w:pPr>
      <w:r>
        <w:t>Desktop: logo, Services, How It Works, Why ASOJU, Trust, Resources, Sign In, Get Started.</w:t>
      </w:r>
    </w:p>
    <w:p>
      <w:pPr>
        <w:pStyle w:val="ListBullet"/>
      </w:pPr>
      <w:r>
        <w:t>Mobile: menu trigger, logo, Get Started.</w:t>
      </w:r>
    </w:p>
    <w:p>
      <w:pPr>
        <w:pStyle w:val="ListBullet"/>
      </w:pPr>
      <w:r>
        <w:t>Keep Get Started visually primary.</w:t>
      </w:r>
    </w:p>
    <w:p>
      <w:pPr>
        <w:pStyle w:val="ListBullet"/>
      </w:pPr>
      <w:r>
        <w:t>Services menu contains only the six locked service families.</w:t>
      </w:r>
    </w:p>
    <w:p>
      <w:pPr>
        <w:pStyle w:val="ListBullet"/>
      </w:pPr>
      <w:r>
        <w:t>Header must remain usable during scroll and at narrow widths.</w:t>
      </w:r>
    </w:p>
    <w:p>
      <w:pPr>
        <w:pStyle w:val="Heading2"/>
      </w:pPr>
      <w:r>
        <w:t>4.2 Hero</w:t>
      </w:r>
    </w:p>
    <w:p>
      <w:r>
        <w:t>Headline: “Be there, even when you can't be there.”</w:t>
      </w:r>
    </w:p>
    <w:p>
      <w:r>
        <w:t>Supporting copy: “ASOJU helps you handle important things in Nigeria from wherever you are — with trusted people on the ground, clear scope, evidence and accountability.”</w:t>
      </w:r>
    </w:p>
    <w:p>
      <w:r>
        <w:t>Concierge heading: “Tell ASOJU what you need”</w:t>
      </w:r>
    </w:p>
    <w:p>
      <w:r>
        <w:t>Input placeholder: “What do you need help with in Nigeria? Tell us what you need in your own words…”</w:t>
      </w:r>
    </w:p>
    <w:p>
      <w:r>
        <w:t>Primary CTA: “Start with ASOJU →”</w:t>
      </w:r>
    </w:p>
    <w:p>
      <w:r>
        <w:t>Suggested example prompts:</w:t>
      </w:r>
    </w:p>
    <w:p>
      <w:pPr>
        <w:pStyle w:val="ListBullet"/>
      </w:pPr>
      <w:r>
        <w:t>“I need someone to inspect my property in Lagos.”</w:t>
      </w:r>
    </w:p>
    <w:p>
      <w:pPr>
        <w:pStyle w:val="ListBullet"/>
      </w:pPr>
      <w:r>
        <w:t>“My parents need help with something in Abuja.”</w:t>
      </w:r>
    </w:p>
    <w:p>
      <w:pPr>
        <w:pStyle w:val="ListBullet"/>
      </w:pPr>
      <w:r>
        <w:t>“I need someone to check the progress of my building.”</w:t>
      </w:r>
    </w:p>
    <w:p>
      <w:pPr>
        <w:pStyle w:val="ListBullet"/>
      </w:pPr>
      <w:r>
        <w:t>“I'm arriving in Nigeria next month and need help getting settled.”</w:t>
      </w:r>
    </w:p>
    <w:p>
      <w:pPr>
        <w:pStyle w:val="Heading2"/>
      </w:pPr>
      <w:r>
        <w:t>4.3 Anonymous Concierge interaction</w:t>
      </w:r>
    </w:p>
    <w:tbl>
      <w:tblPr>
        <w:tblStyle w:val="TableGrid"/>
        <w:tblW w:type="auto" w:w="0"/>
        <w:tblLook w:firstColumn="1" w:firstRow="1" w:lastColumn="0" w:lastRow="0" w:noHBand="0" w:noVBand="1" w:val="04A0"/>
      </w:tblPr>
      <w:tblGrid>
        <w:gridCol w:w="3408"/>
        <w:gridCol w:w="3408"/>
        <w:gridCol w:w="3408"/>
      </w:tblGrid>
      <w:tr>
        <w:tc>
          <w:tcPr>
            <w:tcW w:type="dxa" w:w="3408"/>
          </w:tcPr>
          <w:p>
            <w:r>
              <w:t>Step</w:t>
            </w:r>
          </w:p>
        </w:tc>
        <w:tc>
          <w:tcPr>
            <w:tcW w:type="dxa" w:w="3408"/>
          </w:tcPr>
          <w:p>
            <w:r>
              <w:t>UI behavior</w:t>
            </w:r>
          </w:p>
        </w:tc>
        <w:tc>
          <w:tcPr>
            <w:tcW w:type="dxa" w:w="3408"/>
          </w:tcPr>
          <w:p>
            <w:r>
              <w:t>Backend rule</w:t>
            </w:r>
          </w:p>
        </w:tc>
      </w:tr>
      <w:tr>
        <w:tc>
          <w:tcPr>
            <w:tcW w:type="dxa" w:w="3408"/>
          </w:tcPr>
          <w:p>
            <w:r>
              <w:t>Idle</w:t>
            </w:r>
          </w:p>
        </w:tc>
        <w:tc>
          <w:tcPr>
            <w:tcW w:type="dxa" w:w="3408"/>
          </w:tcPr>
          <w:p>
            <w:r>
              <w:t>Input + examples + Start CTA.</w:t>
            </w:r>
          </w:p>
        </w:tc>
        <w:tc>
          <w:tcPr>
            <w:tcW w:type="dxa" w:w="3408"/>
          </w:tcPr>
          <w:p>
            <w:r>
              <w:t>No account required.</w:t>
            </w:r>
          </w:p>
        </w:tc>
      </w:tr>
      <w:tr>
        <w:tc>
          <w:tcPr>
            <w:tcW w:type="dxa" w:w="3408"/>
          </w:tcPr>
          <w:p>
            <w:r>
              <w:t>Conversation</w:t>
            </w:r>
          </w:p>
        </w:tc>
        <w:tc>
          <w:tcPr>
            <w:tcW w:type="dxa" w:w="3408"/>
          </w:tcPr>
          <w:p>
            <w:r>
              <w:t>Messages, questions, structured capture.</w:t>
            </w:r>
          </w:p>
        </w:tc>
        <w:tc>
          <w:tcPr>
            <w:tcW w:type="dxa" w:w="3408"/>
          </w:tcPr>
          <w:p>
            <w:r>
              <w:t>Do not create a case yet.</w:t>
            </w:r>
          </w:p>
        </w:tc>
      </w:tr>
      <w:tr>
        <w:tc>
          <w:tcPr>
            <w:tcW w:type="dxa" w:w="3408"/>
          </w:tcPr>
          <w:p>
            <w:r>
              <w:t>Structured request</w:t>
            </w:r>
          </w:p>
        </w:tc>
        <w:tc>
          <w:tcPr>
            <w:tcW w:type="dxa" w:w="3408"/>
          </w:tcPr>
          <w:p>
            <w:r>
              <w:t>Show summary, service family and missing information.</w:t>
            </w:r>
          </w:p>
        </w:tc>
        <w:tc>
          <w:tcPr>
            <w:tcW w:type="dxa" w:w="3408"/>
          </w:tcPr>
          <w:p>
            <w:r>
              <w:t>Server remains authoritative.</w:t>
            </w:r>
          </w:p>
        </w:tc>
      </w:tr>
      <w:tr>
        <w:tc>
          <w:tcPr>
            <w:tcW w:type="dxa" w:w="3408"/>
          </w:tcPr>
          <w:p>
            <w:r>
              <w:t>Formal case action</w:t>
            </w:r>
          </w:p>
        </w:tc>
        <w:tc>
          <w:tcPr>
            <w:tcW w:type="dxa" w:w="3408"/>
          </w:tcPr>
          <w:p>
            <w:r>
              <w:t>“Continue to create your request”.</w:t>
            </w:r>
          </w:p>
        </w:tc>
        <w:tc>
          <w:tcPr>
            <w:tcW w:type="dxa" w:w="3408"/>
          </w:tcPr>
          <w:p>
            <w:r>
              <w:t>Authentication required.</w:t>
            </w:r>
          </w:p>
        </w:tc>
      </w:tr>
      <w:tr>
        <w:tc>
          <w:tcPr>
            <w:tcW w:type="dxa" w:w="3408"/>
          </w:tcPr>
          <w:p>
            <w:r>
              <w:t>Auth gate</w:t>
            </w:r>
          </w:p>
        </w:tc>
        <w:tc>
          <w:tcPr>
            <w:tcW w:type="dxa" w:w="3408"/>
          </w:tcPr>
          <w:p>
            <w:r>
              <w:t>Sign In / Create Account; preserve safe request draft.</w:t>
            </w:r>
          </w:p>
        </w:tc>
        <w:tc>
          <w:tcPr>
            <w:tcW w:type="dxa" w:w="3408"/>
          </w:tcPr>
          <w:p>
            <w:r>
              <w:t>No case until authenticated.</w:t>
            </w:r>
          </w:p>
        </w:tc>
      </w:tr>
      <w:tr>
        <w:tc>
          <w:tcPr>
            <w:tcW w:type="dxa" w:w="3408"/>
          </w:tcPr>
          <w:p>
            <w:r>
              <w:t>Case creation</w:t>
            </w:r>
          </w:p>
        </w:tc>
        <w:tc>
          <w:tcPr>
            <w:tcW w:type="dxa" w:w="3408"/>
          </w:tcPr>
          <w:p>
            <w:r>
              <w:t>Authoritative loading; prevent duplicate submit.</w:t>
            </w:r>
          </w:p>
        </w:tc>
        <w:tc>
          <w:tcPr>
            <w:tcW w:type="dxa" w:w="3408"/>
          </w:tcPr>
          <w:p>
            <w:r>
              <w:t>Backend creates case.</w:t>
            </w:r>
          </w:p>
        </w:tc>
      </w:tr>
      <w:tr>
        <w:tc>
          <w:tcPr>
            <w:tcW w:type="dxa" w:w="3408"/>
          </w:tcPr>
          <w:p>
            <w:r>
              <w:t>Success</w:t>
            </w:r>
          </w:p>
        </w:tc>
        <w:tc>
          <w:tcPr>
            <w:tcW w:type="dxa" w:w="3408"/>
          </w:tcPr>
          <w:p>
            <w:r>
              <w:t>Route to case detail / next workflow step.</w:t>
            </w:r>
          </w:p>
        </w:tc>
        <w:tc>
          <w:tcPr>
            <w:tcW w:type="dxa" w:w="3408"/>
          </w:tcPr>
          <w:p>
            <w:r>
              <w:t>Only claim case exists after server success.</w:t>
            </w:r>
          </w:p>
        </w:tc>
      </w:tr>
    </w:tbl>
    <w:p>
      <w:pPr>
        <w:pStyle w:val="Heading2"/>
      </w:pPr>
      <w:r>
        <w:t>4.4 Trust strip</w:t>
      </w:r>
    </w:p>
    <w:p>
      <w:pPr>
        <w:pStyle w:val="ListBullet"/>
      </w:pPr>
      <w:r>
        <w:t>Trusted representation in Nigeria</w:t>
      </w:r>
    </w:p>
    <w:p>
      <w:pPr>
        <w:pStyle w:val="ListBullet"/>
      </w:pPr>
      <w:r>
        <w:t>Clear scope</w:t>
      </w:r>
    </w:p>
    <w:p>
      <w:pPr>
        <w:pStyle w:val="ListBullet"/>
      </w:pPr>
      <w:r>
        <w:t>Accountable execution</w:t>
      </w:r>
    </w:p>
    <w:p>
      <w:pPr>
        <w:pStyle w:val="ListBullet"/>
      </w:pPr>
      <w:r>
        <w:t>Evidence-backed updates</w:t>
      </w:r>
    </w:p>
    <w:p>
      <w:pPr>
        <w:pStyle w:val="ListBullet"/>
      </w:pPr>
      <w:r>
        <w:t>Secure payments</w:t>
      </w:r>
    </w:p>
    <w:p>
      <w:pPr>
        <w:pStyle w:val="Heading2"/>
      </w:pPr>
      <w:r>
        <w:t>4.5 Services section</w:t>
      </w:r>
    </w:p>
    <w:p>
      <w:r>
        <w:t>Headline: “Whatever needs someone you trust on the ground.”</w:t>
      </w:r>
    </w:p>
    <w:tbl>
      <w:tblPr>
        <w:tblStyle w:val="TableGrid"/>
        <w:tblW w:type="auto" w:w="0"/>
        <w:tblLook w:firstColumn="1" w:firstRow="1" w:lastColumn="0" w:lastRow="0" w:noHBand="0" w:noVBand="1" w:val="04A0"/>
      </w:tblPr>
      <w:tblGrid>
        <w:gridCol w:w="3408"/>
        <w:gridCol w:w="3408"/>
        <w:gridCol w:w="3408"/>
      </w:tblGrid>
      <w:tr>
        <w:tc>
          <w:tcPr>
            <w:tcW w:type="dxa" w:w="3408"/>
          </w:tcPr>
          <w:p>
            <w:r>
              <w:t>Card</w:t>
            </w:r>
          </w:p>
        </w:tc>
        <w:tc>
          <w:tcPr>
            <w:tcW w:type="dxa" w:w="3408"/>
          </w:tcPr>
          <w:p>
            <w:r>
              <w:t>Promise</w:t>
            </w:r>
          </w:p>
        </w:tc>
        <w:tc>
          <w:tcPr>
            <w:tcW w:type="dxa" w:w="3408"/>
          </w:tcPr>
          <w:p>
            <w:r>
              <w:t>Primary CTA</w:t>
            </w:r>
          </w:p>
        </w:tc>
      </w:tr>
      <w:tr>
        <w:tc>
          <w:tcPr>
            <w:tcW w:type="dxa" w:w="3408"/>
          </w:tcPr>
          <w:p>
            <w:r>
              <w:t>ASOJU Arrivals</w:t>
            </w:r>
          </w:p>
        </w:tc>
        <w:tc>
          <w:tcPr>
            <w:tcW w:type="dxa" w:w="3408"/>
          </w:tcPr>
          <w:p>
            <w:r>
              <w:t>Arrive in Nigeria with trusted support on the ground.</w:t>
            </w:r>
          </w:p>
        </w:tc>
        <w:tc>
          <w:tcPr>
            <w:tcW w:type="dxa" w:w="3408"/>
          </w:tcPr>
          <w:p>
            <w:r>
              <w:t>Explore ASOJU Arrivals →</w:t>
            </w:r>
          </w:p>
        </w:tc>
      </w:tr>
      <w:tr>
        <w:tc>
          <w:tcPr>
            <w:tcW w:type="dxa" w:w="3408"/>
          </w:tcPr>
          <w:p>
            <w:r>
              <w:t>ASOJU Inspect</w:t>
            </w:r>
          </w:p>
        </w:tc>
        <w:tc>
          <w:tcPr>
            <w:tcW w:type="dxa" w:w="3408"/>
          </w:tcPr>
          <w:p>
            <w:r>
              <w:t>Know what is happening on the ground.</w:t>
            </w:r>
          </w:p>
        </w:tc>
        <w:tc>
          <w:tcPr>
            <w:tcW w:type="dxa" w:w="3408"/>
          </w:tcPr>
          <w:p>
            <w:r>
              <w:t>Explore ASOJU Inspect →</w:t>
            </w:r>
          </w:p>
        </w:tc>
      </w:tr>
      <w:tr>
        <w:tc>
          <w:tcPr>
            <w:tcW w:type="dxa" w:w="3408"/>
          </w:tcPr>
          <w:p>
            <w:r>
              <w:t>ASOJU Build</w:t>
            </w:r>
          </w:p>
        </w:tc>
        <w:tc>
          <w:tcPr>
            <w:tcW w:type="dxa" w:w="3408"/>
          </w:tcPr>
          <w:p>
            <w:r>
              <w:t>Keep your project moving, even from abroad.</w:t>
            </w:r>
          </w:p>
        </w:tc>
        <w:tc>
          <w:tcPr>
            <w:tcW w:type="dxa" w:w="3408"/>
          </w:tcPr>
          <w:p>
            <w:r>
              <w:t>Explore ASOJU Build →</w:t>
            </w:r>
          </w:p>
        </w:tc>
      </w:tr>
      <w:tr>
        <w:tc>
          <w:tcPr>
            <w:tcW w:type="dxa" w:w="3408"/>
          </w:tcPr>
          <w:p>
            <w:r>
              <w:t>ASOJU Care</w:t>
            </w:r>
          </w:p>
        </w:tc>
        <w:tc>
          <w:tcPr>
            <w:tcW w:type="dxa" w:w="3408"/>
          </w:tcPr>
          <w:p>
            <w:r>
              <w:t>Be there for the people who matter, even when you're far away.</w:t>
            </w:r>
          </w:p>
        </w:tc>
        <w:tc>
          <w:tcPr>
            <w:tcW w:type="dxa" w:w="3408"/>
          </w:tcPr>
          <w:p>
            <w:r>
              <w:t>Explore ASOJU Care →</w:t>
            </w:r>
          </w:p>
        </w:tc>
      </w:tr>
      <w:tr>
        <w:tc>
          <w:tcPr>
            <w:tcW w:type="dxa" w:w="3408"/>
          </w:tcPr>
          <w:p>
            <w:r>
              <w:t>ASOJU Verify</w:t>
            </w:r>
          </w:p>
        </w:tc>
        <w:tc>
          <w:tcPr>
            <w:tcW w:type="dxa" w:w="3408"/>
          </w:tcPr>
          <w:p>
            <w:r>
              <w:t>Know who and what you're dealing with.</w:t>
            </w:r>
          </w:p>
        </w:tc>
        <w:tc>
          <w:tcPr>
            <w:tcW w:type="dxa" w:w="3408"/>
          </w:tcPr>
          <w:p>
            <w:r>
              <w:t>Explore ASOJU Verify →</w:t>
            </w:r>
          </w:p>
        </w:tc>
      </w:tr>
      <w:tr>
        <w:tc>
          <w:tcPr>
            <w:tcW w:type="dxa" w:w="3408"/>
          </w:tcPr>
          <w:p>
            <w:r>
              <w:t>ASOJU Assist</w:t>
            </w:r>
          </w:p>
        </w:tc>
        <w:tc>
          <w:tcPr>
            <w:tcW w:type="dxa" w:w="3408"/>
          </w:tcPr>
          <w:p>
            <w:r>
              <w:t>When something needs to be done in Nigeria, ASOJU can handle it for you.</w:t>
            </w:r>
          </w:p>
        </w:tc>
        <w:tc>
          <w:tcPr>
            <w:tcW w:type="dxa" w:w="3408"/>
          </w:tcPr>
          <w:p>
            <w:r>
              <w:t>Explore ASOJU Assist →</w:t>
            </w:r>
          </w:p>
        </w:tc>
      </w:tr>
    </w:tbl>
    <w:p>
      <w:r>
        <w:t>Each card should support a service landing page or a filtered Concierge state according to the repository's actual routing. Do not invent route names before checking the codebase.</w:t>
      </w:r>
    </w:p>
    <w:p>
      <w:pPr>
        <w:pStyle w:val="Heading2"/>
      </w:pPr>
      <w:r>
        <w:t>4.6 Representation section</w:t>
      </w:r>
    </w:p>
    <w:p>
      <w:r>
        <w:t>Headline: “Distance shouldn't mean losing control.”</w:t>
      </w:r>
    </w:p>
    <w:p>
      <w:r>
        <w:t>Visual sequence: You are abroad → Something needs to happen in Nigeria → ASOJU understands → Trusted person handles it → Updates/evidence → You stay informed and in control.</w:t>
      </w:r>
    </w:p>
    <w:p>
      <w:pPr>
        <w:pStyle w:val="Heading2"/>
      </w:pPr>
      <w:r>
        <w:t>4.7 How It Works</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Copy</w:t>
            </w:r>
          </w:p>
        </w:tc>
      </w:tr>
      <w:tr>
        <w:tc>
          <w:tcPr>
            <w:tcW w:type="dxa" w:w="5112"/>
          </w:tcPr>
          <w:p>
            <w:r>
              <w:t>1 — Tell us</w:t>
            </w:r>
          </w:p>
        </w:tc>
        <w:tc>
          <w:tcPr>
            <w:tcW w:type="dxa" w:w="5112"/>
          </w:tcPr>
          <w:p>
            <w:r>
              <w:t>Describe what you need through the ASOJU Concierge.</w:t>
            </w:r>
          </w:p>
        </w:tc>
      </w:tr>
      <w:tr>
        <w:tc>
          <w:tcPr>
            <w:tcW w:type="dxa" w:w="5112"/>
          </w:tcPr>
          <w:p>
            <w:r>
              <w:t>2 — Define it</w:t>
            </w:r>
          </w:p>
        </w:tc>
        <w:tc>
          <w:tcPr>
            <w:tcW w:type="dxa" w:w="5112"/>
          </w:tcPr>
          <w:p>
            <w:r>
              <w:t>ASOJU clarifies the request, scope and requirements.</w:t>
            </w:r>
          </w:p>
        </w:tc>
      </w:tr>
      <w:tr>
        <w:tc>
          <w:tcPr>
            <w:tcW w:type="dxa" w:w="5112"/>
          </w:tcPr>
          <w:p>
            <w:r>
              <w:t>3 — We handle it</w:t>
            </w:r>
          </w:p>
        </w:tc>
        <w:tc>
          <w:tcPr>
            <w:tcW w:type="dxa" w:w="5112"/>
          </w:tcPr>
          <w:p>
            <w:r>
              <w:t>The right people execute the work on the ground.</w:t>
            </w:r>
          </w:p>
        </w:tc>
      </w:tr>
      <w:tr>
        <w:tc>
          <w:tcPr>
            <w:tcW w:type="dxa" w:w="5112"/>
          </w:tcPr>
          <w:p>
            <w:r>
              <w:t>4 — You see what happened</w:t>
            </w:r>
          </w:p>
        </w:tc>
        <w:tc>
          <w:tcPr>
            <w:tcW w:type="dxa" w:w="5112"/>
          </w:tcPr>
          <w:p>
            <w:r>
              <w:t>Receive updates, evidence and the completed report where applicable.</w:t>
            </w:r>
          </w:p>
        </w:tc>
      </w:tr>
    </w:tbl>
    <w:p>
      <w:r>
        <w:t>CTA: Start a Request →</w:t>
      </w:r>
    </w:p>
    <w:p>
      <w:pPr>
        <w:pStyle w:val="Heading2"/>
      </w:pPr>
      <w:r>
        <w:t>4.8 Why ASOJU</w:t>
      </w:r>
    </w:p>
    <w:p>
      <w:r>
        <w:t>Headline: “Because important things deserve more than ‘I'll check on it.’”</w:t>
      </w:r>
    </w:p>
    <w:tbl>
      <w:tblPr>
        <w:tblStyle w:val="TableGrid"/>
        <w:tblW w:type="auto" w:w="0"/>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Trusted Representation</w:t>
            </w:r>
          </w:p>
        </w:tc>
        <w:tc>
          <w:tcPr>
            <w:tcW w:type="dxa" w:w="5112"/>
          </w:tcPr>
          <w:p>
            <w:r>
              <w:t>Someone accountable is handling the matter on the ground.</w:t>
            </w:r>
          </w:p>
        </w:tc>
      </w:tr>
      <w:tr>
        <w:tc>
          <w:tcPr>
            <w:tcW w:type="dxa" w:w="5112"/>
          </w:tcPr>
          <w:p>
            <w:r>
              <w:t>Evidence &amp; Visibility</w:t>
            </w:r>
          </w:p>
        </w:tc>
        <w:tc>
          <w:tcPr>
            <w:tcW w:type="dxa" w:w="5112"/>
          </w:tcPr>
          <w:p>
            <w:r>
              <w:t>You don't have to rely on vague updates.</w:t>
            </w:r>
          </w:p>
        </w:tc>
      </w:tr>
      <w:tr>
        <w:tc>
          <w:tcPr>
            <w:tcW w:type="dxa" w:w="5112"/>
          </w:tcPr>
          <w:p>
            <w:r>
              <w:t>Clear Scope &amp; Costs</w:t>
            </w:r>
          </w:p>
        </w:tc>
        <w:tc>
          <w:tcPr>
            <w:tcW w:type="dxa" w:w="5112"/>
          </w:tcPr>
          <w:p>
            <w:r>
              <w:t>You know what is being handled and what you're paying for.</w:t>
            </w:r>
          </w:p>
        </w:tc>
      </w:tr>
      <w:tr>
        <w:tc>
          <w:tcPr>
            <w:tcW w:type="dxa" w:w="5112"/>
          </w:tcPr>
          <w:p>
            <w:r>
              <w:t>Accountability</w:t>
            </w:r>
          </w:p>
        </w:tc>
        <w:tc>
          <w:tcPr>
            <w:tcW w:type="dxa" w:w="5112"/>
          </w:tcPr>
          <w:p>
            <w:r>
              <w:t>The work moves through a controlled process rather than informal handoffs.</w:t>
            </w:r>
          </w:p>
        </w:tc>
      </w:tr>
    </w:tbl>
    <w:p>
      <w:pPr>
        <w:pStyle w:val="Heading2"/>
      </w:pPr>
      <w:r>
        <w:t>4.9 Trust / proof</w:t>
      </w:r>
    </w:p>
    <w:p>
      <w:r>
        <w:t>Headline: “You don't have to take our word for it.”</w:t>
      </w:r>
    </w:p>
    <w:p>
      <w:pPr>
        <w:pStyle w:val="ListBullet"/>
      </w:pPr>
      <w:r>
        <w:t>Use only approved anonymized ratings/testimonials and verified public proof.</w:t>
      </w:r>
    </w:p>
    <w:p>
      <w:pPr>
        <w:pStyle w:val="ListBullet"/>
      </w:pPr>
      <w:r>
        <w:t>Show aggregate rating/completed-case count only when backend/public data exists.</w:t>
      </w:r>
    </w:p>
    <w:p>
      <w:pPr>
        <w:pStyle w:val="ListBullet"/>
      </w:pPr>
      <w:r>
        <w:t>Do not invent metrics or testimonials.</w:t>
      </w:r>
    </w:p>
    <w:p>
      <w:pPr>
        <w:pStyle w:val="ListBullet"/>
      </w:pPr>
      <w:r>
        <w:t>Until enough real proof exists, use the trust proposition without fabricated numbers.</w:t>
      </w:r>
    </w:p>
    <w:p>
      <w:pPr>
        <w:pStyle w:val="Heading2"/>
      </w:pPr>
      <w:r>
        <w:t>4.10 Diaspora section</w:t>
      </w:r>
    </w:p>
    <w:p>
      <w:r>
        <w:t>Headline: “You may live abroad. Your responsibilities don't.”</w:t>
      </w:r>
    </w:p>
    <w:p>
      <w:r>
        <w:t>Supporting copy: “Your family, property, projects and important decisions are still happening in Nigeria. ASOJU gives you a trusted way to stay represented, informed and involved — without having to be physically present for everything.”</w:t>
      </w:r>
    </w:p>
    <w:p>
      <w:r>
        <w:t>CTA: See How ASOJU Can Help →</w:t>
      </w:r>
    </w:p>
    <w:p>
      <w:pPr>
        <w:pStyle w:val="Heading2"/>
      </w:pPr>
      <w:r>
        <w:t>4.11 Final Concierge CTA</w:t>
      </w:r>
    </w:p>
    <w:p>
      <w:r>
        <w:t>Headline: “Something needs to be handled in Nigeria?”</w:t>
      </w:r>
    </w:p>
    <w:p>
      <w:r>
        <w:t>Supporting line: “Tell ASOJU what you need.”</w:t>
      </w:r>
    </w:p>
    <w:p>
      <w:r>
        <w:t>CTA: Start with the ASOJU Concierge →</w:t>
      </w:r>
    </w:p>
    <w:p>
      <w:r>
        <w:t>Anonymous use remains allowed here; authentication begins only when formal case creation is requested.</w:t>
      </w:r>
    </w:p>
    <w:p>
      <w:pPr>
        <w:pStyle w:val="Heading2"/>
      </w:pPr>
      <w:r>
        <w:t>4.12 Footer</w:t>
      </w:r>
    </w:p>
    <w:tbl>
      <w:tblPr>
        <w:tblStyle w:val="TableGrid"/>
        <w:tblW w:type="auto" w:w="0"/>
        <w:tblLook w:firstColumn="1" w:firstRow="1" w:lastColumn="0" w:lastRow="0" w:noHBand="0" w:noVBand="1" w:val="04A0"/>
      </w:tblPr>
      <w:tblGrid>
        <w:gridCol w:w="5112"/>
        <w:gridCol w:w="5112"/>
      </w:tblGrid>
      <w:tr>
        <w:tc>
          <w:tcPr>
            <w:tcW w:type="dxa" w:w="5112"/>
          </w:tcPr>
          <w:p>
            <w:r>
              <w:t>Column</w:t>
            </w:r>
          </w:p>
        </w:tc>
        <w:tc>
          <w:tcPr>
            <w:tcW w:type="dxa" w:w="5112"/>
          </w:tcPr>
          <w:p>
            <w:r>
              <w:t>Items</w:t>
            </w:r>
          </w:p>
        </w:tc>
      </w:tr>
      <w:tr>
        <w:tc>
          <w:tcPr>
            <w:tcW w:type="dxa" w:w="5112"/>
          </w:tcPr>
          <w:p>
            <w:r>
              <w:t>Services</w:t>
            </w:r>
          </w:p>
        </w:tc>
        <w:tc>
          <w:tcPr>
            <w:tcW w:type="dxa" w:w="5112"/>
          </w:tcPr>
          <w:p>
            <w:r>
              <w:t>ASOJU Arrivals; ASOJU Inspect; ASOJU Build; ASOJU Care; ASOJU Verify; ASOJU Assist</w:t>
            </w:r>
          </w:p>
        </w:tc>
      </w:tr>
      <w:tr>
        <w:tc>
          <w:tcPr>
            <w:tcW w:type="dxa" w:w="5112"/>
          </w:tcPr>
          <w:p>
            <w:r>
              <w:t>Company</w:t>
            </w:r>
          </w:p>
        </w:tc>
        <w:tc>
          <w:tcPr>
            <w:tcW w:type="dxa" w:w="5112"/>
          </w:tcPr>
          <w:p>
            <w:r>
              <w:t>About ASOJU; How It Works; Why ASOJU; Trust; Resources; Contact</w:t>
            </w:r>
          </w:p>
        </w:tc>
      </w:tr>
      <w:tr>
        <w:tc>
          <w:tcPr>
            <w:tcW w:type="dxa" w:w="5112"/>
          </w:tcPr>
          <w:p>
            <w:r>
              <w:t>Customer</w:t>
            </w:r>
          </w:p>
        </w:tc>
        <w:tc>
          <w:tcPr>
            <w:tcW w:type="dxa" w:w="5112"/>
          </w:tcPr>
          <w:p>
            <w:r>
              <w:t>Sign In; Create Account; My Cases; Referrals; Membership</w:t>
            </w:r>
          </w:p>
        </w:tc>
      </w:tr>
      <w:tr>
        <w:tc>
          <w:tcPr>
            <w:tcW w:type="dxa" w:w="5112"/>
          </w:tcPr>
          <w:p>
            <w:r>
              <w:t>Support</w:t>
            </w:r>
          </w:p>
        </w:tc>
        <w:tc>
          <w:tcPr>
            <w:tcW w:type="dxa" w:w="5112"/>
          </w:tcPr>
          <w:p>
            <w:r>
              <w:t>Help; Privacy; Terms; Security</w:t>
            </w:r>
          </w:p>
        </w:tc>
      </w:tr>
    </w:tbl>
    <w:p>
      <w:pPr>
        <w:pStyle w:val="Heading1"/>
      </w:pPr>
      <w:r>
        <w:t>5. Service landing page blueprint</w:t>
      </w:r>
    </w:p>
    <w:p>
      <w:r>
        <w:t>Every service page should use a common shell while allowing service-specific content.</w:t>
      </w:r>
    </w:p>
    <w:tbl>
      <w:tblPr>
        <w:tblStyle w:val="TableGrid"/>
        <w:tblW w:type="auto" w:w="0"/>
        <w:tblLook w:firstColumn="1" w:firstRow="1" w:lastColumn="0" w:lastRow="0" w:noHBand="0" w:noVBand="1" w:val="04A0"/>
      </w:tblPr>
      <w:tblGrid>
        <w:gridCol w:w="5112"/>
        <w:gridCol w:w="5112"/>
      </w:tblGrid>
      <w:tr>
        <w:tc>
          <w:tcPr>
            <w:tcW w:type="dxa" w:w="5112"/>
          </w:tcPr>
          <w:p>
            <w:r>
              <w:t>Block</w:t>
            </w:r>
          </w:p>
        </w:tc>
        <w:tc>
          <w:tcPr>
            <w:tcW w:type="dxa" w:w="5112"/>
          </w:tcPr>
          <w:p>
            <w:r>
              <w:t>Requirement</w:t>
            </w:r>
          </w:p>
        </w:tc>
      </w:tr>
      <w:tr>
        <w:tc>
          <w:tcPr>
            <w:tcW w:type="dxa" w:w="5112"/>
          </w:tcPr>
          <w:p>
            <w:r>
              <w:t>Hero</w:t>
            </w:r>
          </w:p>
        </w:tc>
        <w:tc>
          <w:tcPr>
            <w:tcW w:type="dxa" w:w="5112"/>
          </w:tcPr>
          <w:p>
            <w:r>
              <w:t>Exact service name + promise + concise explanation + primary Start with ASOJU CTA.</w:t>
            </w:r>
          </w:p>
        </w:tc>
      </w:tr>
      <w:tr>
        <w:tc>
          <w:tcPr>
            <w:tcW w:type="dxa" w:w="5112"/>
          </w:tcPr>
          <w:p>
            <w:r>
              <w:t>Use cases</w:t>
            </w:r>
          </w:p>
        </w:tc>
        <w:tc>
          <w:tcPr>
            <w:tcW w:type="dxa" w:w="5112"/>
          </w:tcPr>
          <w:p>
            <w:r>
              <w:t>Plain-language situations customers can bring to ASOJU.</w:t>
            </w:r>
          </w:p>
        </w:tc>
      </w:tr>
      <w:tr>
        <w:tc>
          <w:tcPr>
            <w:tcW w:type="dxa" w:w="5112"/>
          </w:tcPr>
          <w:p>
            <w:r>
              <w:t>How it works</w:t>
            </w:r>
          </w:p>
        </w:tc>
        <w:tc>
          <w:tcPr>
            <w:tcW w:type="dxa" w:w="5112"/>
          </w:tcPr>
          <w:p>
            <w:r>
              <w:t>Relevant four-step process.</w:t>
            </w:r>
          </w:p>
        </w:tc>
      </w:tr>
      <w:tr>
        <w:tc>
          <w:tcPr>
            <w:tcW w:type="dxa" w:w="5112"/>
          </w:tcPr>
          <w:p>
            <w:r>
              <w:t>What you receive</w:t>
            </w:r>
          </w:p>
        </w:tc>
        <w:tc>
          <w:tcPr>
            <w:tcW w:type="dxa" w:w="5112"/>
          </w:tcPr>
          <w:p>
            <w:r>
              <w:t>Deliverables/evidence/report where applicable.</w:t>
            </w:r>
          </w:p>
        </w:tc>
      </w:tr>
      <w:tr>
        <w:tc>
          <w:tcPr>
            <w:tcW w:type="dxa" w:w="5112"/>
          </w:tcPr>
          <w:p>
            <w:r>
              <w:t>Trust</w:t>
            </w:r>
          </w:p>
        </w:tc>
        <w:tc>
          <w:tcPr>
            <w:tcW w:type="dxa" w:w="5112"/>
          </w:tcPr>
          <w:p>
            <w:r>
              <w:t>Accountability, evidence, scope and payment principles.</w:t>
            </w:r>
          </w:p>
        </w:tc>
      </w:tr>
      <w:tr>
        <w:tc>
          <w:tcPr>
            <w:tcW w:type="dxa" w:w="5112"/>
          </w:tcPr>
          <w:p>
            <w:r>
              <w:t>Concierge</w:t>
            </w:r>
          </w:p>
        </w:tc>
        <w:tc>
          <w:tcPr>
            <w:tcW w:type="dxa" w:w="5112"/>
          </w:tcPr>
          <w:p>
            <w:r>
              <w:t>Service-specific quick-start prompts.</w:t>
            </w:r>
          </w:p>
        </w:tc>
      </w:tr>
      <w:tr>
        <w:tc>
          <w:tcPr>
            <w:tcW w:type="dxa" w:w="5112"/>
          </w:tcPr>
          <w:p>
            <w:r>
              <w:t>FAQ</w:t>
            </w:r>
          </w:p>
        </w:tc>
        <w:tc>
          <w:tcPr>
            <w:tcW w:type="dxa" w:w="5112"/>
          </w:tcPr>
          <w:p>
            <w:r>
              <w:t>Only approved factual answers; avoid invented SLA/pricing.</w:t>
            </w:r>
          </w:p>
        </w:tc>
      </w:tr>
      <w:tr>
        <w:tc>
          <w:tcPr>
            <w:tcW w:type="dxa" w:w="5112"/>
          </w:tcPr>
          <w:p>
            <w:r>
              <w:t>CTA</w:t>
            </w:r>
          </w:p>
        </w:tc>
        <w:tc>
          <w:tcPr>
            <w:tcW w:type="dxa" w:w="5112"/>
          </w:tcPr>
          <w:p>
            <w:r>
              <w:t>Start with ASOJU →</w:t>
            </w:r>
          </w:p>
        </w:tc>
      </w:tr>
    </w:tbl>
    <w:p>
      <w:pPr>
        <w:pStyle w:val="Heading1"/>
      </w:pPr>
      <w:r>
        <w:t>6. Responsive layout blueprint</w:t>
      </w:r>
    </w:p>
    <w:tbl>
      <w:tblPr>
        <w:tblStyle w:val="TableGrid"/>
        <w:tblW w:type="auto" w:w="0"/>
        <w:tblLook w:firstColumn="1" w:firstRow="1" w:lastColumn="0" w:lastRow="0" w:noHBand="0" w:noVBand="1" w:val="04A0"/>
      </w:tblPr>
      <w:tblGrid>
        <w:gridCol w:w="5112"/>
        <w:gridCol w:w="5112"/>
      </w:tblGrid>
      <w:tr>
        <w:tc>
          <w:tcPr>
            <w:tcW w:type="dxa" w:w="5112"/>
          </w:tcPr>
          <w:p>
            <w:r>
              <w:t>Breakpoint/context</w:t>
            </w:r>
          </w:p>
        </w:tc>
        <w:tc>
          <w:tcPr>
            <w:tcW w:type="dxa" w:w="5112"/>
          </w:tcPr>
          <w:p>
            <w:r>
              <w:t>Layout</w:t>
            </w:r>
          </w:p>
        </w:tc>
      </w:tr>
      <w:tr>
        <w:tc>
          <w:tcPr>
            <w:tcW w:type="dxa" w:w="5112"/>
          </w:tcPr>
          <w:p>
            <w:r>
              <w:t>Desktop</w:t>
            </w:r>
          </w:p>
        </w:tc>
        <w:tc>
          <w:tcPr>
            <w:tcW w:type="dxa" w:w="5112"/>
          </w:tcPr>
          <w:p>
            <w:r>
              <w:t>Wide hero with Concierge as focal panel; six service cards in 3×2; process in 4 columns; trust pillars in 4 columns.</w:t>
            </w:r>
          </w:p>
        </w:tc>
      </w:tr>
      <w:tr>
        <w:tc>
          <w:tcPr>
            <w:tcW w:type="dxa" w:w="5112"/>
          </w:tcPr>
          <w:p>
            <w:r>
              <w:t>Tablet</w:t>
            </w:r>
          </w:p>
        </w:tc>
        <w:tc>
          <w:tcPr>
            <w:tcW w:type="dxa" w:w="5112"/>
          </w:tcPr>
          <w:p>
            <w:r>
              <w:t>Hero stacks partially; services 2 columns; process 2×2; preserve readable spacing.</w:t>
            </w:r>
          </w:p>
        </w:tc>
      </w:tr>
      <w:tr>
        <w:tc>
          <w:tcPr>
            <w:tcW w:type="dxa" w:w="5112"/>
          </w:tcPr>
          <w:p>
            <w:r>
              <w:t>Mobile</w:t>
            </w:r>
          </w:p>
        </w:tc>
        <w:tc>
          <w:tcPr>
            <w:tcW w:type="dxa" w:w="5112"/>
          </w:tcPr>
          <w:p>
            <w:r>
              <w:t>Single-column hero/Concierge; services as stacked cards; process vertical; sticky/visible CTA where appropriate.</w:t>
            </w:r>
          </w:p>
        </w:tc>
      </w:tr>
      <w:tr>
        <w:tc>
          <w:tcPr>
            <w:tcW w:type="dxa" w:w="5112"/>
          </w:tcPr>
          <w:p>
            <w:r>
              <w:t>Field is not homepage</w:t>
            </w:r>
          </w:p>
        </w:tc>
        <w:tc>
          <w:tcPr>
            <w:tcW w:type="dxa" w:w="5112"/>
          </w:tcPr>
          <w:p>
            <w:r>
              <w:t>Field Agent mobile UX is specified separately in the frontend engineering document.</w:t>
            </w:r>
          </w:p>
        </w:tc>
      </w:tr>
    </w:tbl>
    <w:p>
      <w:pPr>
        <w:pStyle w:val="Heading1"/>
      </w:pPr>
      <w:r>
        <w:t>7. Visual hierarchy</w:t>
      </w:r>
    </w:p>
    <w:p>
      <w:pPr>
        <w:pStyle w:val="ListBullet"/>
      </w:pPr>
      <w:r>
        <w:t>Priority 1: AI Concierge and Get Started.</w:t>
      </w:r>
    </w:p>
    <w:p>
      <w:pPr>
        <w:pStyle w:val="ListBullet"/>
      </w:pPr>
      <w:r>
        <w:t>Priority 2: ASOJU brand proposition.</w:t>
      </w:r>
    </w:p>
    <w:p>
      <w:pPr>
        <w:pStyle w:val="ListBullet"/>
      </w:pPr>
      <w:r>
        <w:t>Priority 3: six services.</w:t>
      </w:r>
    </w:p>
    <w:p>
      <w:pPr>
        <w:pStyle w:val="ListBullet"/>
      </w:pPr>
      <w:r>
        <w:t>Priority 4: trust/accountability.</w:t>
      </w:r>
    </w:p>
    <w:p>
      <w:pPr>
        <w:pStyle w:val="ListBullet"/>
      </w:pPr>
      <w:r>
        <w:t>Priority 5: process and supporting information.</w:t>
      </w:r>
    </w:p>
    <w:p>
      <w:pPr>
        <w:pStyle w:val="ListBullet"/>
      </w:pPr>
      <w:r>
        <w:t>Priority 6: proof/resources/footer.</w:t>
      </w:r>
    </w:p>
    <w:p>
      <w:pPr>
        <w:pStyle w:val="ListBullet"/>
      </w:pPr>
      <w:r>
        <w:t>Use restrained motion. Nothing should delay or obstruct Concierge use.</w:t>
      </w:r>
    </w:p>
    <w:p>
      <w:pPr>
        <w:pStyle w:val="Heading1"/>
      </w:pPr>
      <w:r>
        <w:t>8. Interaction and state requirements</w:t>
      </w:r>
    </w:p>
    <w:tbl>
      <w:tblPr>
        <w:tblStyle w:val="TableGrid"/>
        <w:tblW w:type="auto" w:w="0"/>
        <w:tblLook w:firstColumn="1" w:firstRow="1" w:lastColumn="0" w:lastRow="0" w:noHBand="0" w:noVBand="1" w:val="04A0"/>
      </w:tblPr>
      <w:tblGrid>
        <w:gridCol w:w="5112"/>
        <w:gridCol w:w="5112"/>
      </w:tblGrid>
      <w:tr>
        <w:tc>
          <w:tcPr>
            <w:tcW w:type="dxa" w:w="5112"/>
          </w:tcPr>
          <w:p>
            <w:r>
              <w:t>Component</w:t>
            </w:r>
          </w:p>
        </w:tc>
        <w:tc>
          <w:tcPr>
            <w:tcW w:type="dxa" w:w="5112"/>
          </w:tcPr>
          <w:p>
            <w:r>
              <w:t>Required states</w:t>
            </w:r>
          </w:p>
        </w:tc>
      </w:tr>
      <w:tr>
        <w:tc>
          <w:tcPr>
            <w:tcW w:type="dxa" w:w="5112"/>
          </w:tcPr>
          <w:p>
            <w:r>
              <w:t>Header</w:t>
            </w:r>
          </w:p>
        </w:tc>
        <w:tc>
          <w:tcPr>
            <w:tcW w:type="dxa" w:w="5112"/>
          </w:tcPr>
          <w:p>
            <w:r>
              <w:t>Default, scrolled, mobile, Services open, keyboard focus.</w:t>
            </w:r>
          </w:p>
        </w:tc>
      </w:tr>
      <w:tr>
        <w:tc>
          <w:tcPr>
            <w:tcW w:type="dxa" w:w="5112"/>
          </w:tcPr>
          <w:p>
            <w:r>
              <w:t>Service card</w:t>
            </w:r>
          </w:p>
        </w:tc>
        <w:tc>
          <w:tcPr>
            <w:tcW w:type="dxa" w:w="5112"/>
          </w:tcPr>
          <w:p>
            <w:r>
              <w:t>Default, hover/focus, pressed, loading navigation.</w:t>
            </w:r>
          </w:p>
        </w:tc>
      </w:tr>
      <w:tr>
        <w:tc>
          <w:tcPr>
            <w:tcW w:type="dxa" w:w="5112"/>
          </w:tcPr>
          <w:p>
            <w:r>
              <w:t>Concierge</w:t>
            </w:r>
          </w:p>
        </w:tc>
        <w:tc>
          <w:tcPr>
            <w:tcW w:type="dxa" w:w="5112"/>
          </w:tcPr>
          <w:p>
            <w:r>
              <w:t>Idle, typing, sending, response, clarification, structured request, auth gate, case creation, success, AI failure, network failure.</w:t>
            </w:r>
          </w:p>
        </w:tc>
      </w:tr>
      <w:tr>
        <w:tc>
          <w:tcPr>
            <w:tcW w:type="dxa" w:w="5112"/>
          </w:tcPr>
          <w:p>
            <w:r>
              <w:t>Trust proof</w:t>
            </w:r>
          </w:p>
        </w:tc>
        <w:tc>
          <w:tcPr>
            <w:tcW w:type="dxa" w:w="5112"/>
          </w:tcPr>
          <w:p>
            <w:r>
              <w:t>Loading, available, no proof yet, error.</w:t>
            </w:r>
          </w:p>
        </w:tc>
      </w:tr>
      <w:tr>
        <w:tc>
          <w:tcPr>
            <w:tcW w:type="dxa" w:w="5112"/>
          </w:tcPr>
          <w:p>
            <w:r>
              <w:t>CTA</w:t>
            </w:r>
          </w:p>
        </w:tc>
        <w:tc>
          <w:tcPr>
            <w:tcW w:type="dxa" w:w="5112"/>
          </w:tcPr>
          <w:p>
            <w:r>
              <w:t>Default, focus, pressed, disabled/submitting.</w:t>
            </w:r>
          </w:p>
        </w:tc>
      </w:tr>
      <w:tr>
        <w:tc>
          <w:tcPr>
            <w:tcW w:type="dxa" w:w="5112"/>
          </w:tcPr>
          <w:p>
            <w:r>
              <w:t>Page</w:t>
            </w:r>
          </w:p>
        </w:tc>
        <w:tc>
          <w:tcPr>
            <w:tcW w:type="dxa" w:w="5112"/>
          </w:tcPr>
          <w:p>
            <w:r>
              <w:t>Loading shell, error boundary, offline warning where relevant.</w:t>
            </w:r>
          </w:p>
        </w:tc>
      </w:tr>
    </w:tbl>
    <w:p>
      <w:pPr>
        <w:pStyle w:val="Heading1"/>
      </w:pPr>
      <w:r>
        <w:t>9. Analytics instrumentation</w:t>
      </w:r>
    </w:p>
    <w:p>
      <w:pPr>
        <w:pStyle w:val="ListBullet"/>
      </w:pPr>
      <w:r>
        <w:t>homepage_view</w:t>
      </w:r>
    </w:p>
    <w:p>
      <w:pPr>
        <w:pStyle w:val="ListBullet"/>
      </w:pPr>
      <w:r>
        <w:t>services_menu_open</w:t>
      </w:r>
    </w:p>
    <w:p>
      <w:pPr>
        <w:pStyle w:val="ListBullet"/>
      </w:pPr>
      <w:r>
        <w:t>service_card_view/click</w:t>
      </w:r>
    </w:p>
    <w:p>
      <w:pPr>
        <w:pStyle w:val="ListBullet"/>
      </w:pPr>
      <w:r>
        <w:t>concierge_open</w:t>
      </w:r>
    </w:p>
    <w:p>
      <w:pPr>
        <w:pStyle w:val="ListBullet"/>
      </w:pPr>
      <w:r>
        <w:t>concierge_example_click</w:t>
      </w:r>
    </w:p>
    <w:p>
      <w:pPr>
        <w:pStyle w:val="ListBullet"/>
      </w:pPr>
      <w:r>
        <w:t>concierge_first_message</w:t>
      </w:r>
    </w:p>
    <w:p>
      <w:pPr>
        <w:pStyle w:val="ListBullet"/>
      </w:pPr>
      <w:r>
        <w:t>concierge_clarification_complete</w:t>
      </w:r>
    </w:p>
    <w:p>
      <w:pPr>
        <w:pStyle w:val="ListBullet"/>
      </w:pPr>
      <w:r>
        <w:t>concierge_structured_request</w:t>
      </w:r>
    </w:p>
    <w:p>
      <w:pPr>
        <w:pStyle w:val="ListBullet"/>
      </w:pPr>
      <w:r>
        <w:t>concierge_auth_gate</w:t>
      </w:r>
    </w:p>
    <w:p>
      <w:pPr>
        <w:pStyle w:val="ListBullet"/>
      </w:pPr>
      <w:r>
        <w:t>sign_in_success</w:t>
      </w:r>
    </w:p>
    <w:p>
      <w:pPr>
        <w:pStyle w:val="ListBullet"/>
      </w:pPr>
      <w:r>
        <w:t>account_created</w:t>
      </w:r>
    </w:p>
    <w:p>
      <w:pPr>
        <w:pStyle w:val="ListBullet"/>
      </w:pPr>
      <w:r>
        <w:t>case_creation_started</w:t>
      </w:r>
    </w:p>
    <w:p>
      <w:pPr>
        <w:pStyle w:val="ListBullet"/>
      </w:pPr>
      <w:r>
        <w:t>case_created</w:t>
      </w:r>
    </w:p>
    <w:p>
      <w:pPr>
        <w:pStyle w:val="ListBullet"/>
      </w:pPr>
      <w:r>
        <w:t>homepage_cta_click</w:t>
      </w:r>
    </w:p>
    <w:p>
      <w:r>
        <w:t>Analytics must follow the project's privacy, consent and data-governance rules. Do not capture sensitive request content as analytics payloads unless explicitly approved.</w:t>
      </w:r>
    </w:p>
    <w:p>
      <w:pPr>
        <w:pStyle w:val="Heading1"/>
      </w:pPr>
      <w:r>
        <w:t>10. Engineering acceptance criteria</w:t>
      </w:r>
    </w:p>
    <w:p>
      <w:pPr>
        <w:pStyle w:val="ListBullet"/>
      </w:pPr>
      <w:r>
        <w:t>Homepage is fully responsive and visually coherent at supported widths.</w:t>
      </w:r>
    </w:p>
    <w:p>
      <w:pPr>
        <w:pStyle w:val="ListBullet"/>
      </w:pPr>
      <w:r>
        <w:t>Six service names are identical across header, cards, service pages and Concierge categories.</w:t>
      </w:r>
    </w:p>
    <w:p>
      <w:pPr>
        <w:pStyle w:val="ListBullet"/>
      </w:pPr>
      <w:r>
        <w:t>Concierge can be started anonymously.</w:t>
      </w:r>
    </w:p>
    <w:p>
      <w:pPr>
        <w:pStyle w:val="ListBullet"/>
      </w:pPr>
      <w:r>
        <w:t>Anonymous users cannot create a formal case or reach quote/payment without authentication.</w:t>
      </w:r>
    </w:p>
    <w:p>
      <w:pPr>
        <w:pStyle w:val="ListBullet"/>
      </w:pPr>
      <w:r>
        <w:t>Safe request context survives the authentication handoff.</w:t>
      </w:r>
    </w:p>
    <w:p>
      <w:pPr>
        <w:pStyle w:val="ListBullet"/>
      </w:pPr>
      <w:r>
        <w:t>Case creation is backend-authoritative and duplicate-safe.</w:t>
      </w:r>
    </w:p>
    <w:p>
      <w:pPr>
        <w:pStyle w:val="ListBullet"/>
      </w:pPr>
      <w:r>
        <w:t>Homepage does not fabricate trust metrics, testimonials, completion counts or pricing.</w:t>
      </w:r>
    </w:p>
    <w:p>
      <w:pPr>
        <w:pStyle w:val="ListBullet"/>
      </w:pPr>
      <w:r>
        <w:t>All critical interactive states are implemented.</w:t>
      </w:r>
    </w:p>
    <w:p>
      <w:pPr>
        <w:pStyle w:val="ListBullet"/>
      </w:pPr>
      <w:r>
        <w:t>Keyboard/focus/label/accessibility checks pass.</w:t>
      </w:r>
    </w:p>
    <w:p>
      <w:pPr>
        <w:pStyle w:val="ListBullet"/>
      </w:pPr>
      <w:r>
        <w:t>Performance audit shows no avoidable layout shift and the Concierge is not blocked by below-the-fold assets.</w:t>
      </w:r>
    </w:p>
    <w:p>
      <w:pPr>
        <w:pStyle w:val="ListBullet"/>
      </w:pPr>
      <w:r>
        <w:t>Visual regression and E2E tests cover the critical path.</w:t>
      </w:r>
    </w:p>
    <w:p>
      <w:pPr>
        <w:pStyle w:val="Heading1"/>
      </w:pPr>
      <w:r>
        <w:t>11. Developer build order</w:t>
      </w:r>
    </w:p>
    <w:p>
      <w:r>
        <w:t>1. Audit the current repository and map existing homepage/routes/components.</w:t>
      </w:r>
    </w:p>
    <w:p>
      <w:r>
        <w:t>2. Confirm the existing design system or establish the shared homepage primitives.</w:t>
      </w:r>
    </w:p>
    <w:p>
      <w:r>
        <w:t>3. Implement locked header/navigation.</w:t>
      </w:r>
    </w:p>
    <w:p>
      <w:r>
        <w:t>4. Implement hero and anonymous Concierge.</w:t>
      </w:r>
    </w:p>
    <w:p>
      <w:r>
        <w:t>5. Implement authentication handoff and safe request preservation.</w:t>
      </w:r>
    </w:p>
    <w:p>
      <w:r>
        <w:t>6. Implement six service cards and service navigation.</w:t>
      </w:r>
    </w:p>
    <w:p>
      <w:r>
        <w:t>7. Implement representation, How It Works, Why ASOJU, trust and diaspora sections.</w:t>
      </w:r>
    </w:p>
    <w:p>
      <w:r>
        <w:t>8. Connect approved public proof only.</w:t>
      </w:r>
    </w:p>
    <w:p>
      <w:r>
        <w:t>9. Implement final Concierge CTA and footer.</w:t>
      </w:r>
    </w:p>
    <w:p>
      <w:r>
        <w:t>10. Build/verify service landing pages using the common blueprint.</w:t>
      </w:r>
    </w:p>
    <w:p>
      <w:r>
        <w:t>11. Run responsive, accessibility, performance, visual and E2E QA.</w:t>
      </w:r>
    </w:p>
    <w:p>
      <w:r>
        <w:t>12. Document final route/component/API mappings.</w:t>
      </w:r>
    </w:p>
    <w:p>
      <w:pPr>
        <w:pStyle w:val="Heading1"/>
      </w:pPr>
      <w:r>
        <w:t>12. Definition of done</w:t>
      </w:r>
    </w:p>
    <w:p>
      <w:pPr>
        <w:pStyle w:val="ListBullet"/>
      </w:pPr>
      <w:r>
        <w:t>A new visitor can understand ASOJU and begin a real request within the first interaction.</w:t>
      </w:r>
    </w:p>
    <w:p>
      <w:pPr>
        <w:pStyle w:val="ListBullet"/>
      </w:pPr>
      <w:r>
        <w:t>The six locked service families form the complete public service architecture.</w:t>
      </w:r>
    </w:p>
    <w:p>
      <w:pPr>
        <w:pStyle w:val="ListBullet"/>
      </w:pPr>
      <w:r>
        <w:t>AI Concierge is the hero conversion mechanism.</w:t>
      </w:r>
    </w:p>
    <w:p>
      <w:pPr>
        <w:pStyle w:val="ListBullet"/>
      </w:pPr>
      <w:r>
        <w:t>Authentication is a deliberate gate at formal case creation, not an early barrier.</w:t>
      </w:r>
    </w:p>
    <w:p>
      <w:pPr>
        <w:pStyle w:val="ListBullet"/>
      </w:pPr>
      <w:r>
        <w:t>Homepage presentation communicates trusted representation, evidence, accountability and control.</w:t>
      </w:r>
    </w:p>
    <w:p>
      <w:pPr>
        <w:pStyle w:val="ListBullet"/>
      </w:pPr>
      <w:r>
        <w:t>Service landing pages are consistent and connected to the Concierge.</w:t>
      </w:r>
    </w:p>
    <w:p>
      <w:pPr>
        <w:pStyle w:val="ListBullet"/>
      </w:pPr>
      <w:r>
        <w:t>All critical states, responsive behavior and accessibility requirements pass QA.</w:t>
      </w:r>
    </w:p>
    <w:p>
      <w:pPr>
        <w:pStyle w:val="ListBullet"/>
      </w:pPr>
      <w:r>
        <w:t>Final implementation is documented against the repository, not only this specification.</w:t>
      </w:r>
    </w:p>
    <w:p>
      <w:r>
        <w:t>Source basis: the previously created ASOJU Homepage UI/UX &amp; Front-End Engineering Specification and the current ASOJU platform build documentation. This blueprint preserves the locked six-service architecture and does not introduce unsupported backend behavior.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