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INVESTOR OUTREACH</w:t>
        <w:br/>
        <w:t>&amp; FUNDRAISING EXECUTION PLAYBOOK</w:t>
      </w:r>
    </w:p>
    <w:p>
      <w:pPr>
        <w:jc w:val="center"/>
      </w:pPr>
      <w:r>
        <w:rPr>
          <w:b/>
        </w:rPr>
        <w:t>Version 1.0 | Investor Targeting, Outreach, Meetings &amp; Deal Process</w:t>
      </w:r>
    </w:p>
    <w:p>
      <w:r>
        <w:rPr>
          <w:b w:val="0"/>
        </w:rPr>
        <w:t>Brand: ASOJU</w:t>
      </w:r>
    </w:p>
    <w:p>
      <w:r>
        <w:rPr>
          <w:b w:val="0"/>
        </w:rPr>
        <w:t>Primary tagline: Your Trusted Rep Back Home.</w:t>
      </w:r>
    </w:p>
    <w:p>
      <w:r>
        <w:rPr>
          <w:b w:val="0"/>
        </w:rPr>
        <w:t>Campaign territory: Be There, Even When You Can't Be There.</w:t>
      </w:r>
    </w:p>
    <w:p>
      <w:r>
        <w:rPr>
          <w:b w:val="0"/>
        </w:rPr>
        <w:t>Purpose: turn the approved investor narrative and financial-readiness work into a disciplined fundraising process.</w:t>
      </w:r>
    </w:p>
    <w:p>
      <w:pPr>
        <w:pStyle w:val="Heading1"/>
      </w:pPr>
      <w:r>
        <w:t>1. Fundraising Objective</w:t>
      </w:r>
    </w:p>
    <w:p>
      <w:r>
        <w:rPr>
          <w:b/>
        </w:rPr>
        <w:t>Build a qualified investor pipeline, convert the strongest-fit investors into substantive conversations, run disciplined diligence, and secure capital only on terms and milestones that support ASOJU's strategic plan.</w:t>
      </w:r>
    </w:p>
    <w:p>
      <w:r>
        <w:rPr>
          <w:b w:val="0"/>
        </w:rPr>
        <w:t>The objective is not to maximize the number of investor meetings. It is to maximize qualified conversations with investors who understand the customer problem, fit the stage and can add useful capital or strategic value.</w:t>
      </w:r>
    </w:p>
    <w:p>
      <w:pPr>
        <w:pStyle w:val="Heading1"/>
      </w:pPr>
      <w:r>
        <w:t>2. Fundraising Operating System</w:t>
      </w:r>
    </w:p>
    <w:p>
      <w:r>
        <w:rPr>
          <w:b/>
        </w:rPr>
        <w:t>TARGET → QUALIFY → INTRODUCE → DISCOVER → PRESENT → FOLLOW-UP → DILIGENCE → TERM DISCUSSION → CLOSE → REPORT</w:t>
      </w:r>
    </w:p>
    <w:p>
      <w:pPr>
        <w:pStyle w:val="Heading1"/>
      </w:pPr>
      <w:r>
        <w:t>3. Investor Profile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Dimension</w:t>
            </w:r>
          </w:p>
        </w:tc>
        <w:tc>
          <w:tcPr>
            <w:tcW w:type="dxa" w:w="5112"/>
            <w:shd w:fill="1F4E78"/>
          </w:tcPr>
          <w:p>
            <w:r>
              <w:rPr>
                <w:b/>
                <w:color w:val="FFFFFF"/>
              </w:rPr>
              <w:t>Priority Definition</w:t>
            </w:r>
          </w:p>
        </w:tc>
      </w:tr>
      <w:tr>
        <w:tc>
          <w:tcPr>
            <w:tcW w:type="dxa" w:w="5112"/>
            <w:vAlign w:val="center"/>
          </w:tcPr>
          <w:p>
            <w:r>
              <w:t>Stage</w:t>
            </w:r>
          </w:p>
        </w:tc>
        <w:tc>
          <w:tcPr>
            <w:tcW w:type="dxa" w:w="5112"/>
            <w:vAlign w:val="center"/>
          </w:tcPr>
          <w:p>
            <w:r>
              <w:t>Investors whose stage mandate matches ASOJU's validated financing stage.</w:t>
            </w:r>
          </w:p>
        </w:tc>
      </w:tr>
      <w:tr>
        <w:tc>
          <w:tcPr>
            <w:tcW w:type="dxa" w:w="5112"/>
            <w:vAlign w:val="center"/>
          </w:tcPr>
          <w:p>
            <w:r>
              <w:t>Geography</w:t>
            </w:r>
          </w:p>
        </w:tc>
        <w:tc>
          <w:tcPr>
            <w:tcW w:type="dxa" w:w="5112"/>
            <w:vAlign w:val="center"/>
          </w:tcPr>
          <w:p>
            <w:r>
              <w:t>Investors comfortable with ASOJU's operating geography and/or diaspora thesis.</w:t>
            </w:r>
          </w:p>
        </w:tc>
      </w:tr>
      <w:tr>
        <w:tc>
          <w:tcPr>
            <w:tcW w:type="dxa" w:w="5112"/>
            <w:vAlign w:val="center"/>
          </w:tcPr>
          <w:p>
            <w:r>
              <w:t>Sector</w:t>
            </w:r>
          </w:p>
        </w:tc>
        <w:tc>
          <w:tcPr>
            <w:tcW w:type="dxa" w:w="5112"/>
            <w:vAlign w:val="center"/>
          </w:tcPr>
          <w:p>
            <w:r>
              <w:t>Investors interested in services, marketplaces, technology-enabled operations, diaspora infrastructure or adjacent validated categories.</w:t>
            </w:r>
          </w:p>
        </w:tc>
      </w:tr>
      <w:tr>
        <w:tc>
          <w:tcPr>
            <w:tcW w:type="dxa" w:w="5112"/>
            <w:vAlign w:val="center"/>
          </w:tcPr>
          <w:p>
            <w:r>
              <w:t>Ticket</w:t>
            </w:r>
          </w:p>
        </w:tc>
        <w:tc>
          <w:tcPr>
            <w:tcW w:type="dxa" w:w="5112"/>
            <w:vAlign w:val="center"/>
          </w:tcPr>
          <w:p>
            <w:r>
              <w:t>Investor capacity should fit the validated raise.</w:t>
            </w:r>
          </w:p>
        </w:tc>
      </w:tr>
      <w:tr>
        <w:tc>
          <w:tcPr>
            <w:tcW w:type="dxa" w:w="5112"/>
            <w:vAlign w:val="center"/>
          </w:tcPr>
          <w:p>
            <w:r>
              <w:t>Strategic value</w:t>
            </w:r>
          </w:p>
        </w:tc>
        <w:tc>
          <w:tcPr>
            <w:tcW w:type="dxa" w:w="5112"/>
            <w:vAlign w:val="center"/>
          </w:tcPr>
          <w:p>
            <w:r>
              <w:t>Network, market access, operating expertise, partnerships or follow-on capability.</w:t>
            </w:r>
          </w:p>
        </w:tc>
      </w:tr>
      <w:tr>
        <w:tc>
          <w:tcPr>
            <w:tcW w:type="dxa" w:w="5112"/>
            <w:vAlign w:val="center"/>
          </w:tcPr>
          <w:p>
            <w:r>
              <w:t>Decision process</w:t>
            </w:r>
          </w:p>
        </w:tc>
        <w:tc>
          <w:tcPr>
            <w:tcW w:type="dxa" w:w="5112"/>
            <w:vAlign w:val="center"/>
          </w:tcPr>
          <w:p>
            <w:r>
              <w:t>Understand partner/committee process and expected timeline.</w:t>
            </w:r>
          </w:p>
        </w:tc>
      </w:tr>
    </w:tbl>
    <w:p>
      <w:pPr>
        <w:pStyle w:val="Heading1"/>
      </w:pPr>
      <w:r>
        <w:t>4. Investor Qualification Score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tcPr>
          <w:p>
            <w:r>
              <w:rPr>
                <w:b/>
                <w:color w:val="FFFFFF"/>
              </w:rPr>
              <w:t>Criterion</w:t>
            </w:r>
          </w:p>
        </w:tc>
        <w:tc>
          <w:tcPr>
            <w:tcW w:type="dxa" w:w="2556"/>
            <w:shd w:fill="1F4E78"/>
          </w:tcPr>
          <w:p>
            <w:r>
              <w:rPr>
                <w:b/>
                <w:color w:val="FFFFFF"/>
              </w:rPr>
              <w:t>Weight</w:t>
            </w:r>
          </w:p>
        </w:tc>
        <w:tc>
          <w:tcPr>
            <w:tcW w:type="dxa" w:w="2556"/>
            <w:shd w:fill="1F4E78"/>
          </w:tcPr>
          <w:p>
            <w:r>
              <w:rPr>
                <w:b/>
                <w:color w:val="FFFFFF"/>
              </w:rPr>
              <w:t>Score 1–5</w:t>
            </w:r>
          </w:p>
        </w:tc>
        <w:tc>
          <w:tcPr>
            <w:tcW w:type="dxa" w:w="2556"/>
            <w:shd w:fill="1F4E78"/>
          </w:tcPr>
          <w:p>
            <w:r>
              <w:rPr>
                <w:b/>
                <w:color w:val="FFFFFF"/>
              </w:rPr>
              <w:t>Weighted Score</w:t>
            </w:r>
          </w:p>
        </w:tc>
      </w:tr>
      <w:tr>
        <w:tc>
          <w:tcPr>
            <w:tcW w:type="dxa" w:w="2556"/>
            <w:vAlign w:val="center"/>
          </w:tcPr>
          <w:p>
            <w:r>
              <w:t>Stage fit</w:t>
            </w:r>
          </w:p>
        </w:tc>
        <w:tc>
          <w:tcPr>
            <w:tcW w:type="dxa" w:w="2556"/>
            <w:vAlign w:val="center"/>
          </w:tcPr>
          <w:p>
            <w:r>
              <w:t>20%</w:t>
            </w:r>
          </w:p>
        </w:tc>
        <w:tc>
          <w:tcPr>
            <w:tcW w:type="dxa" w:w="2556"/>
            <w:vAlign w:val="center"/>
          </w:tcPr>
          <w:p>
            <w:r/>
          </w:p>
        </w:tc>
        <w:tc>
          <w:tcPr>
            <w:tcW w:type="dxa" w:w="2556"/>
            <w:vAlign w:val="center"/>
          </w:tcPr>
          <w:p>
            <w:r/>
          </w:p>
        </w:tc>
      </w:tr>
      <w:tr>
        <w:tc>
          <w:tcPr>
            <w:tcW w:type="dxa" w:w="2556"/>
            <w:vAlign w:val="center"/>
          </w:tcPr>
          <w:p>
            <w:r>
              <w:t>Sector/customer fit</w:t>
            </w:r>
          </w:p>
        </w:tc>
        <w:tc>
          <w:tcPr>
            <w:tcW w:type="dxa" w:w="2556"/>
            <w:vAlign w:val="center"/>
          </w:tcPr>
          <w:p>
            <w:r>
              <w:t>20%</w:t>
            </w:r>
          </w:p>
        </w:tc>
        <w:tc>
          <w:tcPr>
            <w:tcW w:type="dxa" w:w="2556"/>
            <w:vAlign w:val="center"/>
          </w:tcPr>
          <w:p>
            <w:r/>
          </w:p>
        </w:tc>
        <w:tc>
          <w:tcPr>
            <w:tcW w:type="dxa" w:w="2556"/>
            <w:vAlign w:val="center"/>
          </w:tcPr>
          <w:p>
            <w:r/>
          </w:p>
        </w:tc>
      </w:tr>
      <w:tr>
        <w:tc>
          <w:tcPr>
            <w:tcW w:type="dxa" w:w="2556"/>
            <w:vAlign w:val="center"/>
          </w:tcPr>
          <w:p>
            <w:r>
              <w:t>Geography fit</w:t>
            </w:r>
          </w:p>
        </w:tc>
        <w:tc>
          <w:tcPr>
            <w:tcW w:type="dxa" w:w="2556"/>
            <w:vAlign w:val="center"/>
          </w:tcPr>
          <w:p>
            <w:r>
              <w:t>10%</w:t>
            </w:r>
          </w:p>
        </w:tc>
        <w:tc>
          <w:tcPr>
            <w:tcW w:type="dxa" w:w="2556"/>
            <w:vAlign w:val="center"/>
          </w:tcPr>
          <w:p>
            <w:r/>
          </w:p>
        </w:tc>
        <w:tc>
          <w:tcPr>
            <w:tcW w:type="dxa" w:w="2556"/>
            <w:vAlign w:val="center"/>
          </w:tcPr>
          <w:p>
            <w:r/>
          </w:p>
        </w:tc>
      </w:tr>
      <w:tr>
        <w:tc>
          <w:tcPr>
            <w:tcW w:type="dxa" w:w="2556"/>
            <w:vAlign w:val="center"/>
          </w:tcPr>
          <w:p>
            <w:r>
              <w:t>Ticket fit</w:t>
            </w:r>
          </w:p>
        </w:tc>
        <w:tc>
          <w:tcPr>
            <w:tcW w:type="dxa" w:w="2556"/>
            <w:vAlign w:val="center"/>
          </w:tcPr>
          <w:p>
            <w:r>
              <w:t>15%</w:t>
            </w:r>
          </w:p>
        </w:tc>
        <w:tc>
          <w:tcPr>
            <w:tcW w:type="dxa" w:w="2556"/>
            <w:vAlign w:val="center"/>
          </w:tcPr>
          <w:p>
            <w:r/>
          </w:p>
        </w:tc>
        <w:tc>
          <w:tcPr>
            <w:tcW w:type="dxa" w:w="2556"/>
            <w:vAlign w:val="center"/>
          </w:tcPr>
          <w:p>
            <w:r/>
          </w:p>
        </w:tc>
      </w:tr>
      <w:tr>
        <w:tc>
          <w:tcPr>
            <w:tcW w:type="dxa" w:w="2556"/>
            <w:vAlign w:val="center"/>
          </w:tcPr>
          <w:p>
            <w:r>
              <w:t>Strategic value</w:t>
            </w:r>
          </w:p>
        </w:tc>
        <w:tc>
          <w:tcPr>
            <w:tcW w:type="dxa" w:w="2556"/>
            <w:vAlign w:val="center"/>
          </w:tcPr>
          <w:p>
            <w:r>
              <w:t>15%</w:t>
            </w:r>
          </w:p>
        </w:tc>
        <w:tc>
          <w:tcPr>
            <w:tcW w:type="dxa" w:w="2556"/>
            <w:vAlign w:val="center"/>
          </w:tcPr>
          <w:p>
            <w:r/>
          </w:p>
        </w:tc>
        <w:tc>
          <w:tcPr>
            <w:tcW w:type="dxa" w:w="2556"/>
            <w:vAlign w:val="center"/>
          </w:tcPr>
          <w:p>
            <w:r/>
          </w:p>
        </w:tc>
      </w:tr>
      <w:tr>
        <w:tc>
          <w:tcPr>
            <w:tcW w:type="dxa" w:w="2556"/>
            <w:vAlign w:val="center"/>
          </w:tcPr>
          <w:p>
            <w:r>
              <w:t>Warm access</w:t>
            </w:r>
          </w:p>
        </w:tc>
        <w:tc>
          <w:tcPr>
            <w:tcW w:type="dxa" w:w="2556"/>
            <w:vAlign w:val="center"/>
          </w:tcPr>
          <w:p>
            <w:r>
              <w:t>10%</w:t>
            </w:r>
          </w:p>
        </w:tc>
        <w:tc>
          <w:tcPr>
            <w:tcW w:type="dxa" w:w="2556"/>
            <w:vAlign w:val="center"/>
          </w:tcPr>
          <w:p>
            <w:r/>
          </w:p>
        </w:tc>
        <w:tc>
          <w:tcPr>
            <w:tcW w:type="dxa" w:w="2556"/>
            <w:vAlign w:val="center"/>
          </w:tcPr>
          <w:p>
            <w:r/>
          </w:p>
        </w:tc>
      </w:tr>
      <w:tr>
        <w:tc>
          <w:tcPr>
            <w:tcW w:type="dxa" w:w="2556"/>
            <w:vAlign w:val="center"/>
          </w:tcPr>
          <w:p>
            <w:r>
              <w:t>Process/timing fit</w:t>
            </w:r>
          </w:p>
        </w:tc>
        <w:tc>
          <w:tcPr>
            <w:tcW w:type="dxa" w:w="2556"/>
            <w:vAlign w:val="center"/>
          </w:tcPr>
          <w:p>
            <w:r>
              <w:t>10%</w:t>
            </w:r>
          </w:p>
        </w:tc>
        <w:tc>
          <w:tcPr>
            <w:tcW w:type="dxa" w:w="2556"/>
            <w:vAlign w:val="center"/>
          </w:tcPr>
          <w:p>
            <w:r/>
          </w:p>
        </w:tc>
        <w:tc>
          <w:tcPr>
            <w:tcW w:type="dxa" w:w="2556"/>
            <w:vAlign w:val="center"/>
          </w:tcPr>
          <w:p>
            <w:r/>
          </w:p>
        </w:tc>
      </w:tr>
    </w:tbl>
    <w:p>
      <w:r>
        <w:rPr>
          <w:b w:val="0"/>
        </w:rPr>
        <w:t>Use the score to prioritize effort. Do not let a prestigious name outweigh poor strategic or stage fit.</w:t>
      </w:r>
    </w:p>
    <w:p>
      <w:pPr>
        <w:pStyle w:val="Heading1"/>
      </w:pPr>
      <w:r>
        <w:t>5. Investor Pipeline</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shd w:fill="1F4E78"/>
          </w:tcPr>
          <w:p>
            <w:r>
              <w:rPr>
                <w:b/>
                <w:color w:val="FFFFFF"/>
              </w:rPr>
              <w:t>Investor</w:t>
            </w:r>
          </w:p>
        </w:tc>
        <w:tc>
          <w:tcPr>
            <w:tcW w:type="dxa" w:w="1022"/>
            <w:shd w:fill="1F4E78"/>
          </w:tcPr>
          <w:p>
            <w:r>
              <w:rPr>
                <w:b/>
                <w:color w:val="FFFFFF"/>
              </w:rPr>
              <w:t>Fund</w:t>
            </w:r>
          </w:p>
        </w:tc>
        <w:tc>
          <w:tcPr>
            <w:tcW w:type="dxa" w:w="1022"/>
            <w:shd w:fill="1F4E78"/>
          </w:tcPr>
          <w:p>
            <w:r>
              <w:rPr>
                <w:b/>
                <w:color w:val="FFFFFF"/>
              </w:rPr>
              <w:t>Type</w:t>
            </w:r>
          </w:p>
        </w:tc>
        <w:tc>
          <w:tcPr>
            <w:tcW w:type="dxa" w:w="1022"/>
            <w:shd w:fill="1F4E78"/>
          </w:tcPr>
          <w:p>
            <w:r>
              <w:rPr>
                <w:b/>
                <w:color w:val="FFFFFF"/>
              </w:rPr>
              <w:t>Stage</w:t>
            </w:r>
          </w:p>
        </w:tc>
        <w:tc>
          <w:tcPr>
            <w:tcW w:type="dxa" w:w="1022"/>
            <w:shd w:fill="1F4E78"/>
          </w:tcPr>
          <w:p>
            <w:r>
              <w:rPr>
                <w:b/>
                <w:color w:val="FFFFFF"/>
              </w:rPr>
              <w:t>Ticket</w:t>
            </w:r>
          </w:p>
        </w:tc>
        <w:tc>
          <w:tcPr>
            <w:tcW w:type="dxa" w:w="1022"/>
            <w:shd w:fill="1F4E78"/>
          </w:tcPr>
          <w:p>
            <w:r>
              <w:rPr>
                <w:b/>
                <w:color w:val="FFFFFF"/>
              </w:rPr>
              <w:t>Fit Score</w:t>
            </w:r>
          </w:p>
        </w:tc>
        <w:tc>
          <w:tcPr>
            <w:tcW w:type="dxa" w:w="1022"/>
            <w:shd w:fill="1F4E78"/>
          </w:tcPr>
          <w:p>
            <w:r>
              <w:rPr>
                <w:b/>
                <w:color w:val="FFFFFF"/>
              </w:rPr>
              <w:t>Intro Source</w:t>
            </w:r>
          </w:p>
        </w:tc>
        <w:tc>
          <w:tcPr>
            <w:tcW w:type="dxa" w:w="1022"/>
            <w:shd w:fill="1F4E78"/>
          </w:tcPr>
          <w:p>
            <w:r>
              <w:rPr>
                <w:b/>
                <w:color w:val="FFFFFF"/>
              </w:rPr>
              <w:t>Status</w:t>
            </w:r>
          </w:p>
        </w:tc>
        <w:tc>
          <w:tcPr>
            <w:tcW w:type="dxa" w:w="1022"/>
            <w:shd w:fill="1F4E78"/>
          </w:tcPr>
          <w:p>
            <w:r>
              <w:rPr>
                <w:b/>
                <w:color w:val="FFFFFF"/>
              </w:rPr>
              <w:t>Next Step</w:t>
            </w:r>
          </w:p>
        </w:tc>
        <w:tc>
          <w:tcPr>
            <w:tcW w:type="dxa" w:w="1022"/>
            <w:shd w:fill="1F4E78"/>
          </w:tcPr>
          <w:p>
            <w:r>
              <w:rPr>
                <w:b/>
                <w:color w:val="FFFFFF"/>
              </w:rPr>
              <w:t>Owner</w:t>
            </w:r>
          </w:p>
        </w:tc>
      </w:tr>
      <w:tr>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r>
      <w:tr>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r>
      <w:tr>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r>
      <w:tr>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r>
      <w:tr>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c>
          <w:tcPr>
            <w:tcW w:type="dxa" w:w="1022"/>
            <w:vAlign w:val="center"/>
          </w:tcPr>
          <w:p>
            <w:r/>
          </w:p>
        </w:tc>
      </w:tr>
    </w:tbl>
    <w:p>
      <w:pPr>
        <w:pStyle w:val="Heading1"/>
      </w:pPr>
      <w:r>
        <w:t>6. Warm Introduction Strategy</w:t>
      </w:r>
    </w:p>
    <w:p>
      <w:pPr>
        <w:pStyle w:val="ListNumber"/>
      </w:pPr>
      <w:r>
        <w:t>Identify people who already know the investor.</w:t>
      </w:r>
    </w:p>
    <w:p>
      <w:pPr>
        <w:pStyle w:val="ListNumber"/>
      </w:pPr>
      <w:r>
        <w:t>Ask for a contextual introduction rather than a generic forward.</w:t>
      </w:r>
    </w:p>
    <w:p>
      <w:pPr>
        <w:pStyle w:val="ListNumber"/>
      </w:pPr>
      <w:r>
        <w:t>Provide a concise investor brief to the introducer.</w:t>
      </w:r>
    </w:p>
    <w:p>
      <w:pPr>
        <w:pStyle w:val="ListNumber"/>
      </w:pPr>
      <w:r>
        <w:t>Explain why the investor is a strong fit.</w:t>
      </w:r>
    </w:p>
    <w:p>
      <w:pPr>
        <w:pStyle w:val="ListNumber"/>
      </w:pPr>
      <w:r>
        <w:t>Track the introduction and follow up professionally.</w:t>
      </w:r>
    </w:p>
    <w:p>
      <w:pPr>
        <w:pStyle w:val="ListNumber"/>
      </w:pPr>
      <w:r>
        <w:t>Thank the introducer regardless of outcome.</w:t>
      </w:r>
    </w:p>
    <w:p>
      <w:pPr>
        <w:pStyle w:val="Heading1"/>
      </w:pPr>
      <w:r>
        <w:t>7. Intro Brief</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Field</w:t>
            </w:r>
          </w:p>
        </w:tc>
        <w:tc>
          <w:tcPr>
            <w:tcW w:type="dxa" w:w="5112"/>
            <w:shd w:fill="1F4E78"/>
          </w:tcPr>
          <w:p>
            <w:r>
              <w:rPr>
                <w:b/>
                <w:color w:val="FFFFFF"/>
              </w:rPr>
              <w:t>Content</w:t>
            </w:r>
          </w:p>
        </w:tc>
      </w:tr>
      <w:tr>
        <w:tc>
          <w:tcPr>
            <w:tcW w:type="dxa" w:w="5112"/>
            <w:vAlign w:val="center"/>
          </w:tcPr>
          <w:p>
            <w:r>
              <w:t>Company</w:t>
            </w:r>
          </w:p>
        </w:tc>
        <w:tc>
          <w:tcPr>
            <w:tcW w:type="dxa" w:w="5112"/>
            <w:vAlign w:val="center"/>
          </w:tcPr>
          <w:p>
            <w:r>
              <w:t>ASOJU — Your Trusted Rep Back Home.</w:t>
            </w:r>
          </w:p>
        </w:tc>
      </w:tr>
      <w:tr>
        <w:tc>
          <w:tcPr>
            <w:tcW w:type="dxa" w:w="5112"/>
            <w:vAlign w:val="center"/>
          </w:tcPr>
          <w:p>
            <w:r>
              <w:t>Problem</w:t>
            </w:r>
          </w:p>
        </w:tc>
        <w:tc>
          <w:tcPr>
            <w:tcW w:type="dxa" w:w="5112"/>
            <w:vAlign w:val="center"/>
          </w:tcPr>
          <w:p>
            <w:r>
              <w:t>Distance creates a local-representation and accountability gap.</w:t>
            </w:r>
          </w:p>
        </w:tc>
      </w:tr>
      <w:tr>
        <w:tc>
          <w:tcPr>
            <w:tcW w:type="dxa" w:w="5112"/>
            <w:vAlign w:val="center"/>
          </w:tcPr>
          <w:p>
            <w:r>
              <w:t>Solution</w:t>
            </w:r>
          </w:p>
        </w:tc>
        <w:tc>
          <w:tcPr>
            <w:tcW w:type="dxa" w:w="5112"/>
            <w:vAlign w:val="center"/>
          </w:tcPr>
          <w:p>
            <w:r>
              <w:t>Structured trusted local representation and support in Nigeria.</w:t>
            </w:r>
          </w:p>
        </w:tc>
      </w:tr>
      <w:tr>
        <w:tc>
          <w:tcPr>
            <w:tcW w:type="dxa" w:w="5112"/>
            <w:vAlign w:val="center"/>
          </w:tcPr>
          <w:p>
            <w:r>
              <w:t>Customer</w:t>
            </w:r>
          </w:p>
        </w:tc>
        <w:tc>
          <w:tcPr>
            <w:tcW w:type="dxa" w:w="5112"/>
            <w:vAlign w:val="center"/>
          </w:tcPr>
          <w:p>
            <w:r>
              <w:t>Priority diaspora customer segments with legitimate local needs.</w:t>
            </w:r>
          </w:p>
        </w:tc>
      </w:tr>
      <w:tr>
        <w:tc>
          <w:tcPr>
            <w:tcW w:type="dxa" w:w="5112"/>
            <w:vAlign w:val="center"/>
          </w:tcPr>
          <w:p>
            <w:r>
              <w:t>Evidence</w:t>
            </w:r>
          </w:p>
        </w:tc>
        <w:tc>
          <w:tcPr>
            <w:tcW w:type="dxa" w:w="5112"/>
            <w:vAlign w:val="center"/>
          </w:tcPr>
          <w:p>
            <w:r>
              <w:t>Insert validated traction only.</w:t>
            </w:r>
          </w:p>
        </w:tc>
      </w:tr>
      <w:tr>
        <w:tc>
          <w:tcPr>
            <w:tcW w:type="dxa" w:w="5112"/>
            <w:vAlign w:val="center"/>
          </w:tcPr>
          <w:p>
            <w:r>
              <w:t>Why investor</w:t>
            </w:r>
          </w:p>
        </w:tc>
        <w:tc>
          <w:tcPr>
            <w:tcW w:type="dxa" w:w="5112"/>
            <w:vAlign w:val="center"/>
          </w:tcPr>
          <w:p>
            <w:r>
              <w:t>Specific fit with investor thesis/network.</w:t>
            </w:r>
          </w:p>
        </w:tc>
      </w:tr>
      <w:tr>
        <w:tc>
          <w:tcPr>
            <w:tcW w:type="dxa" w:w="5112"/>
            <w:vAlign w:val="center"/>
          </w:tcPr>
          <w:p>
            <w:r>
              <w:t>Ask</w:t>
            </w:r>
          </w:p>
        </w:tc>
        <w:tc>
          <w:tcPr>
            <w:tcW w:type="dxa" w:w="5112"/>
            <w:vAlign w:val="center"/>
          </w:tcPr>
          <w:p>
            <w:r>
              <w:t>Introduction to the relevant decision-maker.</w:t>
            </w:r>
          </w:p>
        </w:tc>
      </w:tr>
    </w:tbl>
    <w:p>
      <w:pPr>
        <w:pStyle w:val="Heading1"/>
      </w:pPr>
      <w:r>
        <w:t>8. Outreach Message Architecture</w:t>
      </w:r>
    </w:p>
    <w:p>
      <w:pPr>
        <w:pStyle w:val="ListBullet"/>
      </w:pPr>
      <w:r>
        <w:t>Why I am contacting you.</w:t>
      </w:r>
    </w:p>
    <w:p>
      <w:pPr>
        <w:pStyle w:val="ListBullet"/>
      </w:pPr>
      <w:r>
        <w:t>One-sentence ASOJU description.</w:t>
      </w:r>
    </w:p>
    <w:p>
      <w:pPr>
        <w:pStyle w:val="ListBullet"/>
      </w:pPr>
      <w:r>
        <w:t>One credible evidence point, once validated.</w:t>
      </w:r>
    </w:p>
    <w:p>
      <w:pPr>
        <w:pStyle w:val="ListBullet"/>
      </w:pPr>
      <w:r>
        <w:t>Why ASOJU fits the investor's thesis.</w:t>
      </w:r>
    </w:p>
    <w:p>
      <w:pPr>
        <w:pStyle w:val="ListBullet"/>
      </w:pPr>
      <w:r>
        <w:t>Specific request for a short conversation.</w:t>
      </w:r>
    </w:p>
    <w:p>
      <w:r>
        <w:rPr>
          <w:b w:val="0"/>
        </w:rPr>
        <w:t>Avoid mass generic outreach and unsupported claims.</w:t>
      </w:r>
    </w:p>
    <w:p>
      <w:pPr>
        <w:pStyle w:val="Heading1"/>
      </w:pPr>
      <w:r>
        <w:t>9. Investor Meeting #1 — Discovery</w:t>
      </w:r>
    </w:p>
    <w:p>
      <w:r>
        <w:rPr>
          <w:b/>
        </w:rPr>
        <w:t>Goal: determine whether there is mutual fit before delivering a long pitch.</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Topic</w:t>
            </w:r>
          </w:p>
        </w:tc>
        <w:tc>
          <w:tcPr>
            <w:tcW w:type="dxa" w:w="5112"/>
            <w:shd w:fill="1F4E78"/>
          </w:tcPr>
          <w:p>
            <w:r>
              <w:rPr>
                <w:b/>
                <w:color w:val="FFFFFF"/>
              </w:rPr>
              <w:t>Questions</w:t>
            </w:r>
          </w:p>
        </w:tc>
      </w:tr>
      <w:tr>
        <w:tc>
          <w:tcPr>
            <w:tcW w:type="dxa" w:w="5112"/>
            <w:vAlign w:val="center"/>
          </w:tcPr>
          <w:p>
            <w:r>
              <w:t>Thesis</w:t>
            </w:r>
          </w:p>
        </w:tc>
        <w:tc>
          <w:tcPr>
            <w:tcW w:type="dxa" w:w="5112"/>
            <w:vAlign w:val="center"/>
          </w:tcPr>
          <w:p>
            <w:r>
              <w:t>What types of companies and customer problems are most relevant to you?</w:t>
            </w:r>
          </w:p>
        </w:tc>
      </w:tr>
      <w:tr>
        <w:tc>
          <w:tcPr>
            <w:tcW w:type="dxa" w:w="5112"/>
            <w:vAlign w:val="center"/>
          </w:tcPr>
          <w:p>
            <w:r>
              <w:t>Stage</w:t>
            </w:r>
          </w:p>
        </w:tc>
        <w:tc>
          <w:tcPr>
            <w:tcW w:type="dxa" w:w="5112"/>
            <w:vAlign w:val="center"/>
          </w:tcPr>
          <w:p>
            <w:r>
              <w:t>What stage and evidence do you normally require?</w:t>
            </w:r>
          </w:p>
        </w:tc>
      </w:tr>
      <w:tr>
        <w:tc>
          <w:tcPr>
            <w:tcW w:type="dxa" w:w="5112"/>
            <w:vAlign w:val="center"/>
          </w:tcPr>
          <w:p>
            <w:r>
              <w:t>Ticket</w:t>
            </w:r>
          </w:p>
        </w:tc>
        <w:tc>
          <w:tcPr>
            <w:tcW w:type="dxa" w:w="5112"/>
            <w:vAlign w:val="center"/>
          </w:tcPr>
          <w:p>
            <w:r>
              <w:t>What investment range is typical?</w:t>
            </w:r>
          </w:p>
        </w:tc>
      </w:tr>
      <w:tr>
        <w:tc>
          <w:tcPr>
            <w:tcW w:type="dxa" w:w="5112"/>
            <w:vAlign w:val="center"/>
          </w:tcPr>
          <w:p>
            <w:r>
              <w:t>Geography</w:t>
            </w:r>
          </w:p>
        </w:tc>
        <w:tc>
          <w:tcPr>
            <w:tcW w:type="dxa" w:w="5112"/>
            <w:vAlign w:val="center"/>
          </w:tcPr>
          <w:p>
            <w:r>
              <w:t>What markets are priorities?</w:t>
            </w:r>
          </w:p>
        </w:tc>
      </w:tr>
      <w:tr>
        <w:tc>
          <w:tcPr>
            <w:tcW w:type="dxa" w:w="5112"/>
            <w:vAlign w:val="center"/>
          </w:tcPr>
          <w:p>
            <w:r>
              <w:t>Business model</w:t>
            </w:r>
          </w:p>
        </w:tc>
        <w:tc>
          <w:tcPr>
            <w:tcW w:type="dxa" w:w="5112"/>
            <w:vAlign w:val="center"/>
          </w:tcPr>
          <w:p>
            <w:r>
              <w:t>What operating models have you backed?</w:t>
            </w:r>
          </w:p>
        </w:tc>
      </w:tr>
      <w:tr>
        <w:tc>
          <w:tcPr>
            <w:tcW w:type="dxa" w:w="5112"/>
            <w:vAlign w:val="center"/>
          </w:tcPr>
          <w:p>
            <w:r>
              <w:t>Decision process</w:t>
            </w:r>
          </w:p>
        </w:tc>
        <w:tc>
          <w:tcPr>
            <w:tcW w:type="dxa" w:w="5112"/>
            <w:vAlign w:val="center"/>
          </w:tcPr>
          <w:p>
            <w:r>
              <w:t>Who else evaluates an opportunity like this?</w:t>
            </w:r>
          </w:p>
        </w:tc>
      </w:tr>
      <w:tr>
        <w:tc>
          <w:tcPr>
            <w:tcW w:type="dxa" w:w="5112"/>
            <w:vAlign w:val="center"/>
          </w:tcPr>
          <w:p>
            <w:r>
              <w:t>Timing</w:t>
            </w:r>
          </w:p>
        </w:tc>
        <w:tc>
          <w:tcPr>
            <w:tcW w:type="dxa" w:w="5112"/>
            <w:vAlign w:val="center"/>
          </w:tcPr>
          <w:p>
            <w:r>
              <w:t>What does the process normally look like?</w:t>
            </w:r>
          </w:p>
        </w:tc>
      </w:tr>
    </w:tbl>
    <w:p>
      <w:pPr>
        <w:pStyle w:val="Heading1"/>
      </w:pPr>
      <w:r>
        <w:t>10. Investor Meeting #2 — Pitch</w:t>
      </w:r>
    </w:p>
    <w:p>
      <w:r>
        <w:rPr>
          <w:b/>
        </w:rPr>
        <w:t>PROBLEM → SOLUTION → CUSTOMER → EXPERIENCE → TRACTION → GTM → ECONOMICS → SCALE → CAPITAL → MILESTONES</w:t>
      </w:r>
    </w:p>
    <w:p>
      <w:pPr>
        <w:pStyle w:val="ListBullet"/>
      </w:pPr>
      <w:r>
        <w:t>Keep the customer problem concrete.</w:t>
      </w:r>
    </w:p>
    <w:p>
      <w:pPr>
        <w:pStyle w:val="ListBullet"/>
      </w:pPr>
      <w:r>
        <w:t>Use evidence before adjectives.</w:t>
      </w:r>
    </w:p>
    <w:p>
      <w:pPr>
        <w:pStyle w:val="ListBullet"/>
      </w:pPr>
      <w:r>
        <w:t>Explain the operating system.</w:t>
      </w:r>
    </w:p>
    <w:p>
      <w:pPr>
        <w:pStyle w:val="ListBullet"/>
      </w:pPr>
      <w:r>
        <w:t>Show how trust becomes repeatability.</w:t>
      </w:r>
    </w:p>
    <w:p>
      <w:pPr>
        <w:pStyle w:val="ListBullet"/>
      </w:pPr>
      <w:r>
        <w:t>Connect funding to measurable milestones.</w:t>
      </w:r>
    </w:p>
    <w:p>
      <w:pPr>
        <w:pStyle w:val="Heading1"/>
      </w:pPr>
      <w:r>
        <w:t>11. Meeting Preparation Checklist</w:t>
      </w:r>
    </w:p>
    <w:p>
      <w:pPr>
        <w:pStyle w:val="ListBullet"/>
      </w:pPr>
      <w:r>
        <w:t>Investor thesis reviewed.</w:t>
      </w:r>
    </w:p>
    <w:p>
      <w:pPr>
        <w:pStyle w:val="ListBullet"/>
      </w:pPr>
      <w:r>
        <w:t>Relevant portfolio companies reviewed.</w:t>
      </w:r>
    </w:p>
    <w:p>
      <w:pPr>
        <w:pStyle w:val="ListBullet"/>
      </w:pPr>
      <w:r>
        <w:t>Partner/decision-maker identified.</w:t>
      </w:r>
    </w:p>
    <w:p>
      <w:pPr>
        <w:pStyle w:val="ListBullet"/>
      </w:pPr>
      <w:r>
        <w:t>Pitch narrative rehearsed.</w:t>
      </w:r>
    </w:p>
    <w:p>
      <w:pPr>
        <w:pStyle w:val="ListBullet"/>
      </w:pPr>
      <w:r>
        <w:t>Financial model current.</w:t>
      </w:r>
    </w:p>
    <w:p>
      <w:pPr>
        <w:pStyle w:val="ListBullet"/>
      </w:pPr>
      <w:r>
        <w:t>Traction figures reconciled.</w:t>
      </w:r>
    </w:p>
    <w:p>
      <w:pPr>
        <w:pStyle w:val="ListBullet"/>
      </w:pPr>
      <w:r>
        <w:t>Top five investor questions prepared.</w:t>
      </w:r>
    </w:p>
    <w:p>
      <w:pPr>
        <w:pStyle w:val="ListBullet"/>
      </w:pPr>
      <w:r>
        <w:t>Known risks prepared for discussion.</w:t>
      </w:r>
    </w:p>
    <w:p>
      <w:pPr>
        <w:pStyle w:val="ListBullet"/>
      </w:pPr>
      <w:r>
        <w:t>Clear meeting objective defined.</w:t>
      </w:r>
    </w:p>
    <w:p>
      <w:pPr>
        <w:pStyle w:val="ListBullet"/>
      </w:pPr>
      <w:r>
        <w:t>Specific next step prepared.</w:t>
      </w:r>
    </w:p>
    <w:p>
      <w:pPr>
        <w:pStyle w:val="Heading1"/>
      </w:pPr>
      <w:r>
        <w:t>12. Core Investor Questions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Question</w:t>
            </w:r>
          </w:p>
        </w:tc>
        <w:tc>
          <w:tcPr>
            <w:tcW w:type="dxa" w:w="5112"/>
            <w:shd w:fill="1F4E78"/>
          </w:tcPr>
          <w:p>
            <w:r>
              <w:rPr>
                <w:b/>
                <w:color w:val="FFFFFF"/>
              </w:rPr>
              <w:t>Required Answer</w:t>
            </w:r>
          </w:p>
        </w:tc>
      </w:tr>
      <w:tr>
        <w:tc>
          <w:tcPr>
            <w:tcW w:type="dxa" w:w="5112"/>
            <w:vAlign w:val="center"/>
          </w:tcPr>
          <w:p>
            <w:r>
              <w:t>Why this problem?</w:t>
            </w:r>
          </w:p>
        </w:tc>
        <w:tc>
          <w:tcPr>
            <w:tcW w:type="dxa" w:w="5112"/>
            <w:vAlign w:val="center"/>
          </w:tcPr>
          <w:p>
            <w:r>
              <w:t>Customer evidence and pain.</w:t>
            </w:r>
          </w:p>
        </w:tc>
      </w:tr>
      <w:tr>
        <w:tc>
          <w:tcPr>
            <w:tcW w:type="dxa" w:w="5112"/>
            <w:vAlign w:val="center"/>
          </w:tcPr>
          <w:p>
            <w:r>
              <w:t>Why now?</w:t>
            </w:r>
          </w:p>
        </w:tc>
        <w:tc>
          <w:tcPr>
            <w:tcW w:type="dxa" w:w="5112"/>
            <w:vAlign w:val="center"/>
          </w:tcPr>
          <w:p>
            <w:r>
              <w:t>Evidence-backed timing; avoid unsupported hype.</w:t>
            </w:r>
          </w:p>
        </w:tc>
      </w:tr>
      <w:tr>
        <w:tc>
          <w:tcPr>
            <w:tcW w:type="dxa" w:w="5112"/>
            <w:vAlign w:val="center"/>
          </w:tcPr>
          <w:p>
            <w:r>
              <w:t>Why ASOJU?</w:t>
            </w:r>
          </w:p>
        </w:tc>
        <w:tc>
          <w:tcPr>
            <w:tcW w:type="dxa" w:w="5112"/>
            <w:vAlign w:val="center"/>
          </w:tcPr>
          <w:p>
            <w:r>
              <w:t>Customer value and operating differentiation.</w:t>
            </w:r>
          </w:p>
        </w:tc>
      </w:tr>
      <w:tr>
        <w:tc>
          <w:tcPr>
            <w:tcW w:type="dxa" w:w="5112"/>
            <w:vAlign w:val="center"/>
          </w:tcPr>
          <w:p>
            <w:r>
              <w:t>Who pays?</w:t>
            </w:r>
          </w:p>
        </w:tc>
        <w:tc>
          <w:tcPr>
            <w:tcW w:type="dxa" w:w="5112"/>
            <w:vAlign w:val="center"/>
          </w:tcPr>
          <w:p>
            <w:r>
              <w:t>Validated customer/payment model.</w:t>
            </w:r>
          </w:p>
        </w:tc>
      </w:tr>
      <w:tr>
        <w:tc>
          <w:tcPr>
            <w:tcW w:type="dxa" w:w="5112"/>
            <w:vAlign w:val="center"/>
          </w:tcPr>
          <w:p>
            <w:r>
              <w:t>How do you acquire?</w:t>
            </w:r>
          </w:p>
        </w:tc>
        <w:tc>
          <w:tcPr>
            <w:tcW w:type="dxa" w:w="5112"/>
            <w:vAlign w:val="center"/>
          </w:tcPr>
          <w:p>
            <w:r>
              <w:t>Channel and conversion evidence.</w:t>
            </w:r>
          </w:p>
        </w:tc>
      </w:tr>
      <w:tr>
        <w:tc>
          <w:tcPr>
            <w:tcW w:type="dxa" w:w="5112"/>
            <w:vAlign w:val="center"/>
          </w:tcPr>
          <w:p>
            <w:r>
              <w:t>How do you retain?</w:t>
            </w:r>
          </w:p>
        </w:tc>
        <w:tc>
          <w:tcPr>
            <w:tcW w:type="dxa" w:w="5112"/>
            <w:vAlign w:val="center"/>
          </w:tcPr>
          <w:p>
            <w:r>
              <w:t>Repeat/referral evidence.</w:t>
            </w:r>
          </w:p>
        </w:tc>
      </w:tr>
      <w:tr>
        <w:tc>
          <w:tcPr>
            <w:tcW w:type="dxa" w:w="5112"/>
            <w:vAlign w:val="center"/>
          </w:tcPr>
          <w:p>
            <w:r>
              <w:t>What are the economics?</w:t>
            </w:r>
          </w:p>
        </w:tc>
        <w:tc>
          <w:tcPr>
            <w:tcW w:type="dxa" w:w="5112"/>
            <w:vAlign w:val="center"/>
          </w:tcPr>
          <w:p>
            <w:r>
              <w:t>Realized price, cost, margin, CAC, contribution.</w:t>
            </w:r>
          </w:p>
        </w:tc>
      </w:tr>
      <w:tr>
        <w:tc>
          <w:tcPr>
            <w:tcW w:type="dxa" w:w="5112"/>
            <w:vAlign w:val="center"/>
          </w:tcPr>
          <w:p>
            <w:r>
              <w:t>Can it scale?</w:t>
            </w:r>
          </w:p>
        </w:tc>
        <w:tc>
          <w:tcPr>
            <w:tcW w:type="dxa" w:w="5112"/>
            <w:vAlign w:val="center"/>
          </w:tcPr>
          <w:p>
            <w:r>
              <w:t>Capacity, SOPs, technology, quality.</w:t>
            </w:r>
          </w:p>
        </w:tc>
      </w:tr>
      <w:tr>
        <w:tc>
          <w:tcPr>
            <w:tcW w:type="dxa" w:w="5112"/>
            <w:vAlign w:val="center"/>
          </w:tcPr>
          <w:p>
            <w:r>
              <w:t>What is the moat?</w:t>
            </w:r>
          </w:p>
        </w:tc>
        <w:tc>
          <w:tcPr>
            <w:tcW w:type="dxa" w:w="5112"/>
            <w:vAlign w:val="center"/>
          </w:tcPr>
          <w:p>
            <w:r>
              <w:t>Evidence-backed compounding advantage.</w:t>
            </w:r>
          </w:p>
        </w:tc>
      </w:tr>
      <w:tr>
        <w:tc>
          <w:tcPr>
            <w:tcW w:type="dxa" w:w="5112"/>
            <w:vAlign w:val="center"/>
          </w:tcPr>
          <w:p>
            <w:r>
              <w:t>What can go wrong?</w:t>
            </w:r>
          </w:p>
        </w:tc>
        <w:tc>
          <w:tcPr>
            <w:tcW w:type="dxa" w:w="5112"/>
            <w:vAlign w:val="center"/>
          </w:tcPr>
          <w:p>
            <w:r>
              <w:t>Direct answer and mitigation.</w:t>
            </w:r>
          </w:p>
        </w:tc>
      </w:tr>
      <w:tr>
        <w:tc>
          <w:tcPr>
            <w:tcW w:type="dxa" w:w="5112"/>
            <w:vAlign w:val="center"/>
          </w:tcPr>
          <w:p>
            <w:r>
              <w:t>What will capital unlock?</w:t>
            </w:r>
          </w:p>
        </w:tc>
        <w:tc>
          <w:tcPr>
            <w:tcW w:type="dxa" w:w="5112"/>
            <w:vAlign w:val="center"/>
          </w:tcPr>
          <w:p>
            <w:r>
              <w:t>Milestones and use of funds.</w:t>
            </w:r>
          </w:p>
        </w:tc>
      </w:tr>
    </w:tbl>
    <w:p>
      <w:pPr>
        <w:pStyle w:val="Heading1"/>
      </w:pPr>
      <w:r>
        <w:t>13. Investor Objection 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8"/>
          </w:tcPr>
          <w:p>
            <w:r>
              <w:rPr>
                <w:b/>
                <w:color w:val="FFFFFF"/>
              </w:rPr>
              <w:t>Investor</w:t>
            </w:r>
          </w:p>
        </w:tc>
        <w:tc>
          <w:tcPr>
            <w:tcW w:type="dxa" w:w="1704"/>
            <w:shd w:fill="1F4E78"/>
          </w:tcPr>
          <w:p>
            <w:r>
              <w:rPr>
                <w:b/>
                <w:color w:val="FFFFFF"/>
              </w:rPr>
              <w:t>Objection</w:t>
            </w:r>
          </w:p>
        </w:tc>
        <w:tc>
          <w:tcPr>
            <w:tcW w:type="dxa" w:w="1704"/>
            <w:shd w:fill="1F4E78"/>
          </w:tcPr>
          <w:p>
            <w:r>
              <w:rPr>
                <w:b/>
                <w:color w:val="FFFFFF"/>
              </w:rPr>
              <w:t>Evidence Needed</w:t>
            </w:r>
          </w:p>
        </w:tc>
        <w:tc>
          <w:tcPr>
            <w:tcW w:type="dxa" w:w="1704"/>
            <w:shd w:fill="1F4E78"/>
          </w:tcPr>
          <w:p>
            <w:r>
              <w:rPr>
                <w:b/>
                <w:color w:val="FFFFFF"/>
              </w:rPr>
              <w:t>Response</w:t>
            </w:r>
          </w:p>
        </w:tc>
        <w:tc>
          <w:tcPr>
            <w:tcW w:type="dxa" w:w="1704"/>
            <w:shd w:fill="1F4E78"/>
          </w:tcPr>
          <w:p>
            <w:r>
              <w:rPr>
                <w:b/>
                <w:color w:val="FFFFFF"/>
              </w:rPr>
              <w:t>Status</w:t>
            </w:r>
          </w:p>
        </w:tc>
        <w:tc>
          <w:tcPr>
            <w:tcW w:type="dxa" w:w="1704"/>
            <w:shd w:fill="1F4E78"/>
          </w:tcPr>
          <w:p>
            <w:r>
              <w:rPr>
                <w:b/>
                <w:color w:val="FFFFFF"/>
              </w:rPr>
              <w:t>Owner</w:t>
            </w:r>
          </w:p>
        </w:tc>
      </w:tr>
      <w:tr>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bl>
    <w:p>
      <w:pPr>
        <w:pStyle w:val="Heading1"/>
      </w:pPr>
      <w:r>
        <w:t>14. Follow-Up Discipline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Timing</w:t>
            </w:r>
          </w:p>
        </w:tc>
        <w:tc>
          <w:tcPr>
            <w:tcW w:type="dxa" w:w="5112"/>
            <w:shd w:fill="1F4E78"/>
          </w:tcPr>
          <w:p>
            <w:r>
              <w:rPr>
                <w:b/>
                <w:color w:val="FFFFFF"/>
              </w:rPr>
              <w:t>Action</w:t>
            </w:r>
          </w:p>
        </w:tc>
      </w:tr>
      <w:tr>
        <w:tc>
          <w:tcPr>
            <w:tcW w:type="dxa" w:w="5112"/>
            <w:vAlign w:val="center"/>
          </w:tcPr>
          <w:p>
            <w:r>
              <w:t>Same day</w:t>
            </w:r>
          </w:p>
        </w:tc>
        <w:tc>
          <w:tcPr>
            <w:tcW w:type="dxa" w:w="5112"/>
            <w:vAlign w:val="center"/>
          </w:tcPr>
          <w:p>
            <w:r>
              <w:t>Record notes, objections, interest level and next step.</w:t>
            </w:r>
          </w:p>
        </w:tc>
      </w:tr>
      <w:tr>
        <w:tc>
          <w:tcPr>
            <w:tcW w:type="dxa" w:w="5112"/>
            <w:vAlign w:val="center"/>
          </w:tcPr>
          <w:p>
            <w:r>
              <w:t>24 hours</w:t>
            </w:r>
          </w:p>
        </w:tc>
        <w:tc>
          <w:tcPr>
            <w:tcW w:type="dxa" w:w="5112"/>
            <w:vAlign w:val="center"/>
          </w:tcPr>
          <w:p>
            <w:r>
              <w:t>Send concise follow-up with requested materials.</w:t>
            </w:r>
          </w:p>
        </w:tc>
      </w:tr>
      <w:tr>
        <w:tc>
          <w:tcPr>
            <w:tcW w:type="dxa" w:w="5112"/>
            <w:vAlign w:val="center"/>
          </w:tcPr>
          <w:p>
            <w:r>
              <w:t>3–5 days</w:t>
            </w:r>
          </w:p>
        </w:tc>
        <w:tc>
          <w:tcPr>
            <w:tcW w:type="dxa" w:w="5112"/>
            <w:vAlign w:val="center"/>
          </w:tcPr>
          <w:p>
            <w:r>
              <w:t>Follow up if an agreed action has not moved.</w:t>
            </w:r>
          </w:p>
        </w:tc>
      </w:tr>
      <w:tr>
        <w:tc>
          <w:tcPr>
            <w:tcW w:type="dxa" w:w="5112"/>
            <w:vAlign w:val="center"/>
          </w:tcPr>
          <w:p>
            <w:r>
              <w:t>Weekly</w:t>
            </w:r>
          </w:p>
        </w:tc>
        <w:tc>
          <w:tcPr>
            <w:tcW w:type="dxa" w:w="5112"/>
            <w:vAlign w:val="center"/>
          </w:tcPr>
          <w:p>
            <w:r>
              <w:t>Review pipeline and stale opportunities.</w:t>
            </w:r>
          </w:p>
        </w:tc>
      </w:tr>
      <w:tr>
        <w:tc>
          <w:tcPr>
            <w:tcW w:type="dxa" w:w="5112"/>
            <w:vAlign w:val="center"/>
          </w:tcPr>
          <w:p>
            <w:r>
              <w:t>Monthly</w:t>
            </w:r>
          </w:p>
        </w:tc>
        <w:tc>
          <w:tcPr>
            <w:tcW w:type="dxa" w:w="5112"/>
            <w:vAlign w:val="center"/>
          </w:tcPr>
          <w:p>
            <w:r>
              <w:t>Re-score investor fit and process status.</w:t>
            </w:r>
          </w:p>
        </w:tc>
      </w:tr>
    </w:tbl>
    <w:p>
      <w:pPr>
        <w:pStyle w:val="Heading1"/>
      </w:pPr>
      <w:r>
        <w:t>15. Investor Status Definitions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Status</w:t>
            </w:r>
          </w:p>
        </w:tc>
        <w:tc>
          <w:tcPr>
            <w:tcW w:type="dxa" w:w="5112"/>
            <w:shd w:fill="1F4E78"/>
          </w:tcPr>
          <w:p>
            <w:r>
              <w:rPr>
                <w:b/>
                <w:color w:val="FFFFFF"/>
              </w:rPr>
              <w:t>Definition</w:t>
            </w:r>
          </w:p>
        </w:tc>
      </w:tr>
      <w:tr>
        <w:tc>
          <w:tcPr>
            <w:tcW w:type="dxa" w:w="5112"/>
            <w:vAlign w:val="center"/>
          </w:tcPr>
          <w:p>
            <w:r>
              <w:t>Target</w:t>
            </w:r>
          </w:p>
        </w:tc>
        <w:tc>
          <w:tcPr>
            <w:tcW w:type="dxa" w:w="5112"/>
            <w:vAlign w:val="center"/>
          </w:tcPr>
          <w:p>
            <w:r>
              <w:t>Qualified target not yet contacted.</w:t>
            </w:r>
          </w:p>
        </w:tc>
      </w:tr>
      <w:tr>
        <w:tc>
          <w:tcPr>
            <w:tcW w:type="dxa" w:w="5112"/>
            <w:vAlign w:val="center"/>
          </w:tcPr>
          <w:p>
            <w:r>
              <w:t>Intro Requested</w:t>
            </w:r>
          </w:p>
        </w:tc>
        <w:tc>
          <w:tcPr>
            <w:tcW w:type="dxa" w:w="5112"/>
            <w:vAlign w:val="center"/>
          </w:tcPr>
          <w:p>
            <w:r>
              <w:t>Warm introduction being pursued.</w:t>
            </w:r>
          </w:p>
        </w:tc>
      </w:tr>
      <w:tr>
        <w:tc>
          <w:tcPr>
            <w:tcW w:type="dxa" w:w="5112"/>
            <w:vAlign w:val="center"/>
          </w:tcPr>
          <w:p>
            <w:r>
              <w:t>Contacted</w:t>
            </w:r>
          </w:p>
        </w:tc>
        <w:tc>
          <w:tcPr>
            <w:tcW w:type="dxa" w:w="5112"/>
            <w:vAlign w:val="center"/>
          </w:tcPr>
          <w:p>
            <w:r>
              <w:t>Initial outreach sent.</w:t>
            </w:r>
          </w:p>
        </w:tc>
      </w:tr>
      <w:tr>
        <w:tc>
          <w:tcPr>
            <w:tcW w:type="dxa" w:w="5112"/>
            <w:vAlign w:val="center"/>
          </w:tcPr>
          <w:p>
            <w:r>
              <w:t>Meeting 1</w:t>
            </w:r>
          </w:p>
        </w:tc>
        <w:tc>
          <w:tcPr>
            <w:tcW w:type="dxa" w:w="5112"/>
            <w:vAlign w:val="center"/>
          </w:tcPr>
          <w:p>
            <w:r>
              <w:t>Discovery conversation completed.</w:t>
            </w:r>
          </w:p>
        </w:tc>
      </w:tr>
      <w:tr>
        <w:tc>
          <w:tcPr>
            <w:tcW w:type="dxa" w:w="5112"/>
            <w:vAlign w:val="center"/>
          </w:tcPr>
          <w:p>
            <w:r>
              <w:t>Pitch</w:t>
            </w:r>
          </w:p>
        </w:tc>
        <w:tc>
          <w:tcPr>
            <w:tcW w:type="dxa" w:w="5112"/>
            <w:vAlign w:val="center"/>
          </w:tcPr>
          <w:p>
            <w:r>
              <w:t>Formal company/investment discussion.</w:t>
            </w:r>
          </w:p>
        </w:tc>
      </w:tr>
      <w:tr>
        <w:tc>
          <w:tcPr>
            <w:tcW w:type="dxa" w:w="5112"/>
            <w:vAlign w:val="center"/>
          </w:tcPr>
          <w:p>
            <w:r>
              <w:t>Diligence</w:t>
            </w:r>
          </w:p>
        </w:tc>
        <w:tc>
          <w:tcPr>
            <w:tcW w:type="dxa" w:w="5112"/>
            <w:vAlign w:val="center"/>
          </w:tcPr>
          <w:p>
            <w:r>
              <w:t>Investor actively reviewing materials.</w:t>
            </w:r>
          </w:p>
        </w:tc>
      </w:tr>
      <w:tr>
        <w:tc>
          <w:tcPr>
            <w:tcW w:type="dxa" w:w="5112"/>
            <w:vAlign w:val="center"/>
          </w:tcPr>
          <w:p>
            <w:r>
              <w:t>Term Discussion</w:t>
            </w:r>
          </w:p>
        </w:tc>
        <w:tc>
          <w:tcPr>
            <w:tcW w:type="dxa" w:w="5112"/>
            <w:vAlign w:val="center"/>
          </w:tcPr>
          <w:p>
            <w:r>
              <w:t>Commercial/financing terms under discussion.</w:t>
            </w:r>
          </w:p>
        </w:tc>
      </w:tr>
      <w:tr>
        <w:tc>
          <w:tcPr>
            <w:tcW w:type="dxa" w:w="5112"/>
            <w:vAlign w:val="center"/>
          </w:tcPr>
          <w:p>
            <w:r>
              <w:t>Closed</w:t>
            </w:r>
          </w:p>
        </w:tc>
        <w:tc>
          <w:tcPr>
            <w:tcW w:type="dxa" w:w="5112"/>
            <w:vAlign w:val="center"/>
          </w:tcPr>
          <w:p>
            <w:r>
              <w:t>Investment formally completed.</w:t>
            </w:r>
          </w:p>
        </w:tc>
      </w:tr>
      <w:tr>
        <w:tc>
          <w:tcPr>
            <w:tcW w:type="dxa" w:w="5112"/>
            <w:vAlign w:val="center"/>
          </w:tcPr>
          <w:p>
            <w:r>
              <w:t>Paused</w:t>
            </w:r>
          </w:p>
        </w:tc>
        <w:tc>
          <w:tcPr>
            <w:tcW w:type="dxa" w:w="5112"/>
            <w:vAlign w:val="center"/>
          </w:tcPr>
          <w:p>
            <w:r>
              <w:t>Potential fit but timing or requirement blocks progress.</w:t>
            </w:r>
          </w:p>
        </w:tc>
      </w:tr>
      <w:tr>
        <w:tc>
          <w:tcPr>
            <w:tcW w:type="dxa" w:w="5112"/>
            <w:vAlign w:val="center"/>
          </w:tcPr>
          <w:p>
            <w:r>
              <w:t>Declined</w:t>
            </w:r>
          </w:p>
        </w:tc>
        <w:tc>
          <w:tcPr>
            <w:tcW w:type="dxa" w:w="5112"/>
            <w:vAlign w:val="center"/>
          </w:tcPr>
          <w:p>
            <w:r>
              <w:t>Investor has decided not to proceed.</w:t>
            </w:r>
          </w:p>
        </w:tc>
      </w:tr>
    </w:tbl>
    <w:p>
      <w:pPr>
        <w:pStyle w:val="Heading1"/>
      </w:pPr>
      <w:r>
        <w:t>16. Diligence Process</w:t>
      </w:r>
    </w:p>
    <w:p>
      <w:pPr>
        <w:pStyle w:val="ListNumber"/>
      </w:pPr>
      <w:r>
        <w:t>Confirm investor requirements.</w:t>
      </w:r>
    </w:p>
    <w:p>
      <w:pPr>
        <w:pStyle w:val="ListNumber"/>
      </w:pPr>
      <w:r>
        <w:t>Provide controlled data-room access.</w:t>
      </w:r>
    </w:p>
    <w:p>
      <w:pPr>
        <w:pStyle w:val="ListNumber"/>
      </w:pPr>
      <w:r>
        <w:t>Track questions centrally.</w:t>
      </w:r>
    </w:p>
    <w:p>
      <w:pPr>
        <w:pStyle w:val="ListNumber"/>
      </w:pPr>
      <w:r>
        <w:t>Assign each diligence question to an owner.</w:t>
      </w:r>
    </w:p>
    <w:p>
      <w:pPr>
        <w:pStyle w:val="ListNumber"/>
      </w:pPr>
      <w:r>
        <w:t>Respond with evidence.</w:t>
      </w:r>
    </w:p>
    <w:p>
      <w:pPr>
        <w:pStyle w:val="ListNumber"/>
      </w:pPr>
      <w:r>
        <w:t>Flag gaps instead of improvising answers.</w:t>
      </w:r>
    </w:p>
    <w:p>
      <w:pPr>
        <w:pStyle w:val="ListNumber"/>
      </w:pPr>
      <w:r>
        <w:t>Record material changes in the business.</w:t>
      </w:r>
    </w:p>
    <w:p>
      <w:pPr>
        <w:pStyle w:val="ListNumber"/>
      </w:pPr>
      <w:r>
        <w:t>Maintain version control.</w:t>
      </w:r>
    </w:p>
    <w:p>
      <w:pPr>
        <w:pStyle w:val="ListNumber"/>
      </w:pPr>
      <w:r>
        <w:t>Confirm remaining conditions before closing.</w:t>
      </w:r>
    </w:p>
    <w:p>
      <w:pPr>
        <w:pStyle w:val="Heading1"/>
      </w:pPr>
      <w:r>
        <w:t>17. Data Room Control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8"/>
          </w:tcPr>
          <w:p>
            <w:r>
              <w:rPr>
                <w:b/>
                <w:color w:val="FFFFFF"/>
              </w:rPr>
              <w:t>Folder</w:t>
            </w:r>
          </w:p>
        </w:tc>
        <w:tc>
          <w:tcPr>
            <w:tcW w:type="dxa" w:w="2045"/>
            <w:shd w:fill="1F4E78"/>
          </w:tcPr>
          <w:p>
            <w:r>
              <w:rPr>
                <w:b/>
                <w:color w:val="FFFFFF"/>
              </w:rPr>
              <w:t>Owner</w:t>
            </w:r>
          </w:p>
        </w:tc>
        <w:tc>
          <w:tcPr>
            <w:tcW w:type="dxa" w:w="2045"/>
            <w:shd w:fill="1F4E78"/>
          </w:tcPr>
          <w:p>
            <w:r>
              <w:rPr>
                <w:b/>
                <w:color w:val="FFFFFF"/>
              </w:rPr>
              <w:t>Status</w:t>
            </w:r>
          </w:p>
        </w:tc>
        <w:tc>
          <w:tcPr>
            <w:tcW w:type="dxa" w:w="2045"/>
            <w:shd w:fill="1F4E78"/>
          </w:tcPr>
          <w:p>
            <w:r>
              <w:rPr>
                <w:b/>
                <w:color w:val="FFFFFF"/>
              </w:rPr>
              <w:t>Last Updated</w:t>
            </w:r>
          </w:p>
        </w:tc>
        <w:tc>
          <w:tcPr>
            <w:tcW w:type="dxa" w:w="2045"/>
            <w:shd w:fill="1F4E78"/>
          </w:tcPr>
          <w:p>
            <w:r>
              <w:rPr>
                <w:b/>
                <w:color w:val="FFFFFF"/>
              </w:rPr>
              <w:t>Notes</w:t>
            </w:r>
          </w:p>
        </w:tc>
      </w:tr>
      <w:tr>
        <w:tc>
          <w:tcPr>
            <w:tcW w:type="dxa" w:w="2045"/>
            <w:vAlign w:val="center"/>
          </w:tcPr>
          <w:p>
            <w:r>
              <w:t>01 Company</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02 Finance</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03 Traction</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04 Operations</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05 GTM</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06 CX</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07 People</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08 Risk</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bl>
    <w:p>
      <w:pPr>
        <w:pStyle w:val="Heading1"/>
      </w:pPr>
      <w:r>
        <w:t>18. Diligence Question Tracker</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F4E78"/>
          </w:tcPr>
          <w:p>
            <w:r>
              <w:rPr>
                <w:b/>
                <w:color w:val="FFFFFF"/>
              </w:rPr>
              <w:t>Question</w:t>
            </w:r>
          </w:p>
        </w:tc>
        <w:tc>
          <w:tcPr>
            <w:tcW w:type="dxa" w:w="1278"/>
            <w:shd w:fill="1F4E78"/>
          </w:tcPr>
          <w:p>
            <w:r>
              <w:rPr>
                <w:b/>
                <w:color w:val="FFFFFF"/>
              </w:rPr>
              <w:t>Category</w:t>
            </w:r>
          </w:p>
        </w:tc>
        <w:tc>
          <w:tcPr>
            <w:tcW w:type="dxa" w:w="1278"/>
            <w:shd w:fill="1F4E78"/>
          </w:tcPr>
          <w:p>
            <w:r>
              <w:rPr>
                <w:b/>
                <w:color w:val="FFFFFF"/>
              </w:rPr>
              <w:t>Investor</w:t>
            </w:r>
          </w:p>
        </w:tc>
        <w:tc>
          <w:tcPr>
            <w:tcW w:type="dxa" w:w="1278"/>
            <w:shd w:fill="1F4E78"/>
          </w:tcPr>
          <w:p>
            <w:r>
              <w:rPr>
                <w:b/>
                <w:color w:val="FFFFFF"/>
              </w:rPr>
              <w:t>Owner</w:t>
            </w:r>
          </w:p>
        </w:tc>
        <w:tc>
          <w:tcPr>
            <w:tcW w:type="dxa" w:w="1278"/>
            <w:shd w:fill="1F4E78"/>
          </w:tcPr>
          <w:p>
            <w:r>
              <w:rPr>
                <w:b/>
                <w:color w:val="FFFFFF"/>
              </w:rPr>
              <w:t>Due</w:t>
            </w:r>
          </w:p>
        </w:tc>
        <w:tc>
          <w:tcPr>
            <w:tcW w:type="dxa" w:w="1278"/>
            <w:shd w:fill="1F4E78"/>
          </w:tcPr>
          <w:p>
            <w:r>
              <w:rPr>
                <w:b/>
                <w:color w:val="FFFFFF"/>
              </w:rPr>
              <w:t>Response</w:t>
            </w:r>
          </w:p>
        </w:tc>
        <w:tc>
          <w:tcPr>
            <w:tcW w:type="dxa" w:w="1278"/>
            <w:shd w:fill="1F4E78"/>
          </w:tcPr>
          <w:p>
            <w:r>
              <w:rPr>
                <w:b/>
                <w:color w:val="FFFFFF"/>
              </w:rPr>
              <w:t>Evidence Location</w:t>
            </w:r>
          </w:p>
        </w:tc>
        <w:tc>
          <w:tcPr>
            <w:tcW w:type="dxa" w:w="1278"/>
            <w:shd w:fill="1F4E78"/>
          </w:tcPr>
          <w:p>
            <w:r>
              <w:rPr>
                <w:b/>
                <w:color w:val="FFFFFF"/>
              </w:rPr>
              <w:t>Status</w:t>
            </w:r>
          </w:p>
        </w:tc>
      </w:tr>
      <w:tr>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r>
      <w:tr>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r>
      <w:tr>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r>
      <w:tr>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c>
          <w:tcPr>
            <w:tcW w:type="dxa" w:w="1278"/>
            <w:vAlign w:val="center"/>
          </w:tcPr>
          <w:p>
            <w:r/>
          </w:p>
        </w:tc>
      </w:tr>
    </w:tbl>
    <w:p>
      <w:pPr>
        <w:pStyle w:val="Heading1"/>
      </w:pPr>
      <w:r>
        <w:t>19. Financing Decision Framework</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Question</w:t>
            </w:r>
          </w:p>
        </w:tc>
        <w:tc>
          <w:tcPr>
            <w:tcW w:type="dxa" w:w="5112"/>
            <w:shd w:fill="1F4E78"/>
          </w:tcPr>
          <w:p>
            <w:r>
              <w:rPr>
                <w:b/>
                <w:color w:val="FFFFFF"/>
              </w:rPr>
              <w:t>Decision Standard</w:t>
            </w:r>
          </w:p>
        </w:tc>
      </w:tr>
      <w:tr>
        <w:tc>
          <w:tcPr>
            <w:tcW w:type="dxa" w:w="5112"/>
            <w:vAlign w:val="center"/>
          </w:tcPr>
          <w:p>
            <w:r>
              <w:t>Does capital solve a real constraint?</w:t>
            </w:r>
          </w:p>
        </w:tc>
        <w:tc>
          <w:tcPr>
            <w:tcW w:type="dxa" w:w="5112"/>
            <w:vAlign w:val="center"/>
          </w:tcPr>
          <w:p>
            <w:r>
              <w:t>Yes, with measurable milestone.</w:t>
            </w:r>
          </w:p>
        </w:tc>
      </w:tr>
      <w:tr>
        <w:tc>
          <w:tcPr>
            <w:tcW w:type="dxa" w:w="5112"/>
            <w:vAlign w:val="center"/>
          </w:tcPr>
          <w:p>
            <w:r>
              <w:t>Is the use of funds clear?</w:t>
            </w:r>
          </w:p>
        </w:tc>
        <w:tc>
          <w:tcPr>
            <w:tcW w:type="dxa" w:w="5112"/>
            <w:vAlign w:val="center"/>
          </w:tcPr>
          <w:p>
            <w:r>
              <w:t>Each major category has an outcome.</w:t>
            </w:r>
          </w:p>
        </w:tc>
      </w:tr>
      <w:tr>
        <w:tc>
          <w:tcPr>
            <w:tcW w:type="dxa" w:w="5112"/>
            <w:vAlign w:val="center"/>
          </w:tcPr>
          <w:p>
            <w:r>
              <w:t>Is dilution/obligation acceptable?</w:t>
            </w:r>
          </w:p>
        </w:tc>
        <w:tc>
          <w:tcPr>
            <w:tcW w:type="dxa" w:w="5112"/>
            <w:vAlign w:val="center"/>
          </w:tcPr>
          <w:p>
            <w:r>
              <w:t>Reviewed with appropriate professional advice.</w:t>
            </w:r>
          </w:p>
        </w:tc>
      </w:tr>
      <w:tr>
        <w:tc>
          <w:tcPr>
            <w:tcW w:type="dxa" w:w="5112"/>
            <w:vAlign w:val="center"/>
          </w:tcPr>
          <w:p>
            <w:r>
              <w:t>Does the investor add strategic value?</w:t>
            </w:r>
          </w:p>
        </w:tc>
        <w:tc>
          <w:tcPr>
            <w:tcW w:type="dxa" w:w="5112"/>
            <w:vAlign w:val="center"/>
          </w:tcPr>
          <w:p>
            <w:r>
              <w:t>Meaningful value beyond capital where possible.</w:t>
            </w:r>
          </w:p>
        </w:tc>
      </w:tr>
      <w:tr>
        <w:tc>
          <w:tcPr>
            <w:tcW w:type="dxa" w:w="5112"/>
            <w:vAlign w:val="center"/>
          </w:tcPr>
          <w:p>
            <w:r>
              <w:t>Can ASOJU meet post-close milestones?</w:t>
            </w:r>
          </w:p>
        </w:tc>
        <w:tc>
          <w:tcPr>
            <w:tcW w:type="dxa" w:w="5112"/>
            <w:vAlign w:val="center"/>
          </w:tcPr>
          <w:p>
            <w:r>
              <w:t>Capacity and management plan support it.</w:t>
            </w:r>
          </w:p>
        </w:tc>
      </w:tr>
      <w:tr>
        <w:tc>
          <w:tcPr>
            <w:tcW w:type="dxa" w:w="5112"/>
            <w:vAlign w:val="center"/>
          </w:tcPr>
          <w:p>
            <w:r>
              <w:t>Does the financing preserve flexibility?</w:t>
            </w:r>
          </w:p>
        </w:tc>
        <w:tc>
          <w:tcPr>
            <w:tcW w:type="dxa" w:w="5112"/>
            <w:vAlign w:val="center"/>
          </w:tcPr>
          <w:p>
            <w:r>
              <w:t>Consider downside and future financing needs.</w:t>
            </w:r>
          </w:p>
        </w:tc>
      </w:tr>
    </w:tbl>
    <w:p>
      <w:pPr>
        <w:pStyle w:val="Heading1"/>
      </w:pPr>
      <w:r>
        <w:t>20. Term Discussion Checklist</w:t>
      </w:r>
    </w:p>
    <w:p>
      <w:pPr>
        <w:pStyle w:val="ListBullet"/>
      </w:pPr>
      <w:r>
        <w:t>Investment amount.</w:t>
      </w:r>
    </w:p>
    <w:p>
      <w:pPr>
        <w:pStyle w:val="ListBullet"/>
      </w:pPr>
      <w:r>
        <w:t>Instrument/security.</w:t>
      </w:r>
    </w:p>
    <w:p>
      <w:pPr>
        <w:pStyle w:val="ListBullet"/>
      </w:pPr>
      <w:r>
        <w:t>Valuation or pricing mechanism where applicable.</w:t>
      </w:r>
    </w:p>
    <w:p>
      <w:pPr>
        <w:pStyle w:val="ListBullet"/>
      </w:pPr>
      <w:r>
        <w:t>Ownership/dilution.</w:t>
      </w:r>
    </w:p>
    <w:p>
      <w:pPr>
        <w:pStyle w:val="ListBullet"/>
      </w:pPr>
      <w:r>
        <w:t>Liquidation/preference terms where applicable.</w:t>
      </w:r>
    </w:p>
    <w:p>
      <w:pPr>
        <w:pStyle w:val="ListBullet"/>
      </w:pPr>
      <w:r>
        <w:t>Governance/board rights.</w:t>
      </w:r>
    </w:p>
    <w:p>
      <w:pPr>
        <w:pStyle w:val="ListBullet"/>
      </w:pPr>
      <w:r>
        <w:t>Information rights.</w:t>
      </w:r>
    </w:p>
    <w:p>
      <w:pPr>
        <w:pStyle w:val="ListBullet"/>
      </w:pPr>
      <w:r>
        <w:t>Protective provisions.</w:t>
      </w:r>
    </w:p>
    <w:p>
      <w:pPr>
        <w:pStyle w:val="ListBullet"/>
      </w:pPr>
      <w:r>
        <w:t>Founder/team matters.</w:t>
      </w:r>
    </w:p>
    <w:p>
      <w:pPr>
        <w:pStyle w:val="ListBullet"/>
      </w:pPr>
      <w:r>
        <w:t>Pro-rata/follow-on rights.</w:t>
      </w:r>
    </w:p>
    <w:p>
      <w:pPr>
        <w:pStyle w:val="ListBullet"/>
      </w:pPr>
      <w:r>
        <w:t>Conditions precedent.</w:t>
      </w:r>
    </w:p>
    <w:p>
      <w:pPr>
        <w:pStyle w:val="ListBullet"/>
      </w:pPr>
      <w:r>
        <w:t>Closing timeline.</w:t>
      </w:r>
    </w:p>
    <w:p>
      <w:pPr>
        <w:pStyle w:val="ListBullet"/>
      </w:pPr>
      <w:r>
        <w:t>Legal/accounting costs.</w:t>
      </w:r>
    </w:p>
    <w:p>
      <w:pPr>
        <w:pStyle w:val="ListBullet"/>
      </w:pPr>
      <w:r>
        <w:t>Any unusual obligations.</w:t>
      </w:r>
    </w:p>
    <w:p>
      <w:r>
        <w:rPr>
          <w:b w:val="0"/>
        </w:rPr>
        <w:t>Use qualified legal and financial advisers before accepting or signing financing terms.</w:t>
      </w:r>
    </w:p>
    <w:p>
      <w:pPr>
        <w:pStyle w:val="Heading1"/>
      </w:pPr>
      <w:r>
        <w:t>21. Capital Allocation After Close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Priority</w:t>
            </w:r>
          </w:p>
        </w:tc>
        <w:tc>
          <w:tcPr>
            <w:tcW w:type="dxa" w:w="5112"/>
            <w:shd w:fill="1F4E78"/>
          </w:tcPr>
          <w:p>
            <w:r>
              <w:rPr>
                <w:b/>
                <w:color w:val="FFFFFF"/>
              </w:rPr>
              <w:t>Measure</w:t>
            </w:r>
          </w:p>
        </w:tc>
      </w:tr>
      <w:tr>
        <w:tc>
          <w:tcPr>
            <w:tcW w:type="dxa" w:w="5112"/>
            <w:vAlign w:val="center"/>
          </w:tcPr>
          <w:p>
            <w:r>
              <w:t>Demand generation</w:t>
            </w:r>
          </w:p>
        </w:tc>
        <w:tc>
          <w:tcPr>
            <w:tcW w:type="dxa" w:w="5112"/>
            <w:vAlign w:val="center"/>
          </w:tcPr>
          <w:p>
            <w:r>
              <w:t>Qualified customers and channel economics.</w:t>
            </w:r>
          </w:p>
        </w:tc>
      </w:tr>
      <w:tr>
        <w:tc>
          <w:tcPr>
            <w:tcW w:type="dxa" w:w="5112"/>
            <w:vAlign w:val="center"/>
          </w:tcPr>
          <w:p>
            <w:r>
              <w:t>Operations</w:t>
            </w:r>
          </w:p>
        </w:tc>
        <w:tc>
          <w:tcPr>
            <w:tcW w:type="dxa" w:w="5112"/>
            <w:vAlign w:val="center"/>
          </w:tcPr>
          <w:p>
            <w:r>
              <w:t>Throughput, SLA, QC and capacity.</w:t>
            </w:r>
          </w:p>
        </w:tc>
      </w:tr>
      <w:tr>
        <w:tc>
          <w:tcPr>
            <w:tcW w:type="dxa" w:w="5112"/>
            <w:vAlign w:val="center"/>
          </w:tcPr>
          <w:p>
            <w:r>
              <w:t>Technology</w:t>
            </w:r>
          </w:p>
        </w:tc>
        <w:tc>
          <w:tcPr>
            <w:tcW w:type="dxa" w:w="5112"/>
            <w:vAlign w:val="center"/>
          </w:tcPr>
          <w:p>
            <w:r>
              <w:t>Cycle-time, visibility or cost improvement.</w:t>
            </w:r>
          </w:p>
        </w:tc>
      </w:tr>
      <w:tr>
        <w:tc>
          <w:tcPr>
            <w:tcW w:type="dxa" w:w="5112"/>
            <w:vAlign w:val="center"/>
          </w:tcPr>
          <w:p>
            <w:r>
              <w:t>Team</w:t>
            </w:r>
          </w:p>
        </w:tc>
        <w:tc>
          <w:tcPr>
            <w:tcW w:type="dxa" w:w="5112"/>
            <w:vAlign w:val="center"/>
          </w:tcPr>
          <w:p>
            <w:r>
              <w:t>Milestone-linked capability.</w:t>
            </w:r>
          </w:p>
        </w:tc>
      </w:tr>
      <w:tr>
        <w:tc>
          <w:tcPr>
            <w:tcW w:type="dxa" w:w="5112"/>
            <w:vAlign w:val="center"/>
          </w:tcPr>
          <w:p>
            <w:r>
              <w:t>Working capital</w:t>
            </w:r>
          </w:p>
        </w:tc>
        <w:tc>
          <w:tcPr>
            <w:tcW w:type="dxa" w:w="5112"/>
            <w:vAlign w:val="center"/>
          </w:tcPr>
          <w:p>
            <w:r>
              <w:t>Cash conversion and service continuity.</w:t>
            </w:r>
          </w:p>
        </w:tc>
      </w:tr>
    </w:tbl>
    <w:p>
      <w:pPr>
        <w:pStyle w:val="Heading1"/>
      </w:pPr>
      <w:r>
        <w:t>22. Post-Close Reporting</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Cadence</w:t>
            </w:r>
          </w:p>
        </w:tc>
        <w:tc>
          <w:tcPr>
            <w:tcW w:type="dxa" w:w="5112"/>
            <w:shd w:fill="1F4E78"/>
          </w:tcPr>
          <w:p>
            <w:r>
              <w:rPr>
                <w:b/>
                <w:color w:val="FFFFFF"/>
              </w:rPr>
              <w:t>Content</w:t>
            </w:r>
          </w:p>
        </w:tc>
      </w:tr>
      <w:tr>
        <w:tc>
          <w:tcPr>
            <w:tcW w:type="dxa" w:w="5112"/>
            <w:vAlign w:val="center"/>
          </w:tcPr>
          <w:p>
            <w:r>
              <w:t>Monthly</w:t>
            </w:r>
          </w:p>
        </w:tc>
        <w:tc>
          <w:tcPr>
            <w:tcW w:type="dxa" w:w="5112"/>
            <w:vAlign w:val="center"/>
          </w:tcPr>
          <w:p>
            <w:r>
              <w:t>Core KPIs, cash, customer/operations signals, major risks.</w:t>
            </w:r>
          </w:p>
        </w:tc>
      </w:tr>
      <w:tr>
        <w:tc>
          <w:tcPr>
            <w:tcW w:type="dxa" w:w="5112"/>
            <w:vAlign w:val="center"/>
          </w:tcPr>
          <w:p>
            <w:r>
              <w:t>Quarterly</w:t>
            </w:r>
          </w:p>
        </w:tc>
        <w:tc>
          <w:tcPr>
            <w:tcW w:type="dxa" w:w="5112"/>
            <w:vAlign w:val="center"/>
          </w:tcPr>
          <w:p>
            <w:r>
              <w:t>Strategy, financials, milestones, capital allocation, outlook.</w:t>
            </w:r>
          </w:p>
        </w:tc>
      </w:tr>
      <w:tr>
        <w:tc>
          <w:tcPr>
            <w:tcW w:type="dxa" w:w="5112"/>
            <w:vAlign w:val="center"/>
          </w:tcPr>
          <w:p>
            <w:r>
              <w:t>Event-driven</w:t>
            </w:r>
          </w:p>
        </w:tc>
        <w:tc>
          <w:tcPr>
            <w:tcW w:type="dxa" w:w="5112"/>
            <w:vAlign w:val="center"/>
          </w:tcPr>
          <w:p>
            <w:r>
              <w:t>Material risks, financing events or significant deviations.</w:t>
            </w:r>
          </w:p>
        </w:tc>
      </w:tr>
    </w:tbl>
    <w:p>
      <w:pPr>
        <w:pStyle w:val="Heading1"/>
      </w:pPr>
      <w:r>
        <w:t>23. Investor Update Scorecard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8"/>
          </w:tcPr>
          <w:p>
            <w:r>
              <w:rPr>
                <w:b/>
                <w:color w:val="FFFFFF"/>
              </w:rPr>
              <w:t>Metric</w:t>
            </w:r>
          </w:p>
        </w:tc>
        <w:tc>
          <w:tcPr>
            <w:tcW w:type="dxa" w:w="1704"/>
            <w:shd w:fill="1F4E78"/>
          </w:tcPr>
          <w:p>
            <w:r>
              <w:rPr>
                <w:b/>
                <w:color w:val="FFFFFF"/>
              </w:rPr>
              <w:t>Actual</w:t>
            </w:r>
          </w:p>
        </w:tc>
        <w:tc>
          <w:tcPr>
            <w:tcW w:type="dxa" w:w="1704"/>
            <w:shd w:fill="1F4E78"/>
          </w:tcPr>
          <w:p>
            <w:r>
              <w:rPr>
                <w:b/>
                <w:color w:val="FFFFFF"/>
              </w:rPr>
              <w:t>Target</w:t>
            </w:r>
          </w:p>
        </w:tc>
        <w:tc>
          <w:tcPr>
            <w:tcW w:type="dxa" w:w="1704"/>
            <w:shd w:fill="1F4E78"/>
          </w:tcPr>
          <w:p>
            <w:r>
              <w:rPr>
                <w:b/>
                <w:color w:val="FFFFFF"/>
              </w:rPr>
              <w:t>Variance</w:t>
            </w:r>
          </w:p>
        </w:tc>
        <w:tc>
          <w:tcPr>
            <w:tcW w:type="dxa" w:w="1704"/>
            <w:shd w:fill="1F4E78"/>
          </w:tcPr>
          <w:p>
            <w:r>
              <w:rPr>
                <w:b/>
                <w:color w:val="FFFFFF"/>
              </w:rPr>
              <w:t>Comment</w:t>
            </w:r>
          </w:p>
        </w:tc>
        <w:tc>
          <w:tcPr>
            <w:tcW w:type="dxa" w:w="1704"/>
            <w:shd w:fill="1F4E78"/>
          </w:tcPr>
          <w:p>
            <w:r>
              <w:rPr>
                <w:b/>
                <w:color w:val="FFFFFF"/>
              </w:rPr>
              <w:t>Action</w:t>
            </w:r>
          </w:p>
        </w:tc>
      </w:tr>
      <w:tr>
        <w:tc>
          <w:tcPr>
            <w:tcW w:type="dxa" w:w="1704"/>
            <w:vAlign w:val="center"/>
          </w:tcPr>
          <w:p>
            <w:r>
              <w:t>Customers</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t>Revenue</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t>Gross margin</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t>CAC</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t>Contribution/customer</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t>Repeat rate</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t>Referral rate</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t>On-time completion</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t>First-pass QC</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r>
        <w:tc>
          <w:tcPr>
            <w:tcW w:type="dxa" w:w="1704"/>
            <w:vAlign w:val="center"/>
          </w:tcPr>
          <w:p>
            <w:r>
              <w:t>Cash/runway</w:t>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c>
          <w:tcPr>
            <w:tcW w:type="dxa" w:w="1704"/>
            <w:vAlign w:val="center"/>
          </w:tcPr>
          <w:p>
            <w:r/>
          </w:p>
        </w:tc>
      </w:tr>
    </w:tbl>
    <w:p>
      <w:pPr>
        <w:pStyle w:val="Heading1"/>
      </w:pPr>
      <w:r>
        <w:t>24. Fundraising Weekly Review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8"/>
          </w:tcPr>
          <w:p>
            <w:r>
              <w:rPr>
                <w:b/>
                <w:color w:val="FFFFFF"/>
              </w:rPr>
              <w:t>Metric</w:t>
            </w:r>
          </w:p>
        </w:tc>
        <w:tc>
          <w:tcPr>
            <w:tcW w:type="dxa" w:w="2045"/>
            <w:shd w:fill="1F4E78"/>
          </w:tcPr>
          <w:p>
            <w:r>
              <w:rPr>
                <w:b/>
                <w:color w:val="FFFFFF"/>
              </w:rPr>
              <w:t>This Week</w:t>
            </w:r>
          </w:p>
        </w:tc>
        <w:tc>
          <w:tcPr>
            <w:tcW w:type="dxa" w:w="2045"/>
            <w:shd w:fill="1F4E78"/>
          </w:tcPr>
          <w:p>
            <w:r>
              <w:rPr>
                <w:b/>
                <w:color w:val="FFFFFF"/>
              </w:rPr>
              <w:t>Prior Week</w:t>
            </w:r>
          </w:p>
        </w:tc>
        <w:tc>
          <w:tcPr>
            <w:tcW w:type="dxa" w:w="2045"/>
            <w:shd w:fill="1F4E78"/>
          </w:tcPr>
          <w:p>
            <w:r>
              <w:rPr>
                <w:b/>
                <w:color w:val="FFFFFF"/>
              </w:rPr>
              <w:t>Target</w:t>
            </w:r>
          </w:p>
        </w:tc>
        <w:tc>
          <w:tcPr>
            <w:tcW w:type="dxa" w:w="2045"/>
            <w:shd w:fill="1F4E78"/>
          </w:tcPr>
          <w:p>
            <w:r>
              <w:rPr>
                <w:b/>
                <w:color w:val="FFFFFF"/>
              </w:rPr>
              <w:t>Action</w:t>
            </w:r>
          </w:p>
        </w:tc>
      </w:tr>
      <w:tr>
        <w:tc>
          <w:tcPr>
            <w:tcW w:type="dxa" w:w="2045"/>
            <w:vAlign w:val="center"/>
          </w:tcPr>
          <w:p>
            <w:r>
              <w:t>New qualified investors</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Meetings</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Diligence opportunities</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Active term discussions</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Capital committed</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Pipeline value</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r>
        <w:tc>
          <w:tcPr>
            <w:tcW w:type="dxa" w:w="2045"/>
            <w:vAlign w:val="center"/>
          </w:tcPr>
          <w:p>
            <w:r>
              <w:t>Average investor fit score</w:t>
            </w:r>
          </w:p>
        </w:tc>
        <w:tc>
          <w:tcPr>
            <w:tcW w:type="dxa" w:w="2045"/>
            <w:vAlign w:val="center"/>
          </w:tcPr>
          <w:p>
            <w:r/>
          </w:p>
        </w:tc>
        <w:tc>
          <w:tcPr>
            <w:tcW w:type="dxa" w:w="2045"/>
            <w:vAlign w:val="center"/>
          </w:tcPr>
          <w:p>
            <w:r/>
          </w:p>
        </w:tc>
        <w:tc>
          <w:tcPr>
            <w:tcW w:type="dxa" w:w="2045"/>
            <w:vAlign w:val="center"/>
          </w:tcPr>
          <w:p>
            <w:r/>
          </w:p>
        </w:tc>
        <w:tc>
          <w:tcPr>
            <w:tcW w:type="dxa" w:w="2045"/>
            <w:vAlign w:val="center"/>
          </w:tcPr>
          <w:p>
            <w:r/>
          </w:p>
        </w:tc>
      </w:tr>
    </w:tbl>
    <w:p>
      <w:pPr>
        <w:pStyle w:val="Heading1"/>
      </w:pPr>
      <w:r>
        <w:t>25. 30-Day Fundraising Sprint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Week</w:t>
            </w:r>
          </w:p>
        </w:tc>
        <w:tc>
          <w:tcPr>
            <w:tcW w:type="dxa" w:w="3408"/>
            <w:shd w:fill="1F4E78"/>
          </w:tcPr>
          <w:p>
            <w:r>
              <w:rPr>
                <w:b/>
                <w:color w:val="FFFFFF"/>
              </w:rPr>
              <w:t>Objective</w:t>
            </w:r>
          </w:p>
        </w:tc>
        <w:tc>
          <w:tcPr>
            <w:tcW w:type="dxa" w:w="3408"/>
            <w:shd w:fill="1F4E78"/>
          </w:tcPr>
          <w:p>
            <w:r>
              <w:rPr>
                <w:b/>
                <w:color w:val="FFFFFF"/>
              </w:rPr>
              <w:t>Key Deliverables</w:t>
            </w:r>
          </w:p>
        </w:tc>
      </w:tr>
      <w:tr>
        <w:tc>
          <w:tcPr>
            <w:tcW w:type="dxa" w:w="3408"/>
            <w:vAlign w:val="center"/>
          </w:tcPr>
          <w:p>
            <w:r>
              <w:t>1</w:t>
            </w:r>
          </w:p>
        </w:tc>
        <w:tc>
          <w:tcPr>
            <w:tcW w:type="dxa" w:w="3408"/>
            <w:vAlign w:val="center"/>
          </w:tcPr>
          <w:p>
            <w:r>
              <w:t>Prepare</w:t>
            </w:r>
          </w:p>
        </w:tc>
        <w:tc>
          <w:tcPr>
            <w:tcW w:type="dxa" w:w="3408"/>
            <w:vAlign w:val="center"/>
          </w:tcPr>
          <w:p>
            <w:r>
              <w:t>Investor list, scorecard, data room, narrative, model.</w:t>
            </w:r>
          </w:p>
        </w:tc>
      </w:tr>
      <w:tr>
        <w:tc>
          <w:tcPr>
            <w:tcW w:type="dxa" w:w="3408"/>
            <w:vAlign w:val="center"/>
          </w:tcPr>
          <w:p>
            <w:r>
              <w:t>2</w:t>
            </w:r>
          </w:p>
        </w:tc>
        <w:tc>
          <w:tcPr>
            <w:tcW w:type="dxa" w:w="3408"/>
            <w:vAlign w:val="center"/>
          </w:tcPr>
          <w:p>
            <w:r>
              <w:t>Activate</w:t>
            </w:r>
          </w:p>
        </w:tc>
        <w:tc>
          <w:tcPr>
            <w:tcW w:type="dxa" w:w="3408"/>
            <w:vAlign w:val="center"/>
          </w:tcPr>
          <w:p>
            <w:r>
              <w:t>Warm introductions and targeted outreach.</w:t>
            </w:r>
          </w:p>
        </w:tc>
      </w:tr>
      <w:tr>
        <w:tc>
          <w:tcPr>
            <w:tcW w:type="dxa" w:w="3408"/>
            <w:vAlign w:val="center"/>
          </w:tcPr>
          <w:p>
            <w:r>
              <w:t>3</w:t>
            </w:r>
          </w:p>
        </w:tc>
        <w:tc>
          <w:tcPr>
            <w:tcW w:type="dxa" w:w="3408"/>
            <w:vAlign w:val="center"/>
          </w:tcPr>
          <w:p>
            <w:r>
              <w:t>Convert</w:t>
            </w:r>
          </w:p>
        </w:tc>
        <w:tc>
          <w:tcPr>
            <w:tcW w:type="dxa" w:w="3408"/>
            <w:vAlign w:val="center"/>
          </w:tcPr>
          <w:p>
            <w:r>
              <w:t>Discovery/pitch meetings and objection capture.</w:t>
            </w:r>
          </w:p>
        </w:tc>
      </w:tr>
      <w:tr>
        <w:tc>
          <w:tcPr>
            <w:tcW w:type="dxa" w:w="3408"/>
            <w:vAlign w:val="center"/>
          </w:tcPr>
          <w:p>
            <w:r>
              <w:t>4</w:t>
            </w:r>
          </w:p>
        </w:tc>
        <w:tc>
          <w:tcPr>
            <w:tcW w:type="dxa" w:w="3408"/>
            <w:vAlign w:val="center"/>
          </w:tcPr>
          <w:p>
            <w:r>
              <w:t>Advance</w:t>
            </w:r>
          </w:p>
        </w:tc>
        <w:tc>
          <w:tcPr>
            <w:tcW w:type="dxa" w:w="3408"/>
            <w:vAlign w:val="center"/>
          </w:tcPr>
          <w:p>
            <w:r>
              <w:t>Follow-ups, diligence, investor prioritization and next steps.</w:t>
            </w:r>
          </w:p>
        </w:tc>
      </w:tr>
    </w:tbl>
    <w:p>
      <w:pPr>
        <w:pStyle w:val="Heading1"/>
      </w:pPr>
      <w:r>
        <w:t>26. 60-Day Sprint</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Phase</w:t>
            </w:r>
          </w:p>
        </w:tc>
        <w:tc>
          <w:tcPr>
            <w:tcW w:type="dxa" w:w="5112"/>
            <w:shd w:fill="1F4E78"/>
          </w:tcPr>
          <w:p>
            <w:r>
              <w:rPr>
                <w:b/>
                <w:color w:val="FFFFFF"/>
              </w:rPr>
              <w:t>Objective</w:t>
            </w:r>
          </w:p>
        </w:tc>
      </w:tr>
      <w:tr>
        <w:tc>
          <w:tcPr>
            <w:tcW w:type="dxa" w:w="5112"/>
            <w:vAlign w:val="center"/>
          </w:tcPr>
          <w:p>
            <w:r>
              <w:t>Days 1–30</w:t>
            </w:r>
          </w:p>
        </w:tc>
        <w:tc>
          <w:tcPr>
            <w:tcW w:type="dxa" w:w="5112"/>
            <w:vAlign w:val="center"/>
          </w:tcPr>
          <w:p>
            <w:r>
              <w:t>Build qualified pipeline and establish repeatable outreach.</w:t>
            </w:r>
          </w:p>
        </w:tc>
      </w:tr>
      <w:tr>
        <w:tc>
          <w:tcPr>
            <w:tcW w:type="dxa" w:w="5112"/>
            <w:vAlign w:val="center"/>
          </w:tcPr>
          <w:p>
            <w:r>
              <w:t>Days 31–45</w:t>
            </w:r>
          </w:p>
        </w:tc>
        <w:tc>
          <w:tcPr>
            <w:tcW w:type="dxa" w:w="5112"/>
            <w:vAlign w:val="center"/>
          </w:tcPr>
          <w:p>
            <w:r>
              <w:t>Advance strongest-fit investors into diligence.</w:t>
            </w:r>
          </w:p>
        </w:tc>
      </w:tr>
      <w:tr>
        <w:tc>
          <w:tcPr>
            <w:tcW w:type="dxa" w:w="5112"/>
            <w:vAlign w:val="center"/>
          </w:tcPr>
          <w:p>
            <w:r>
              <w:t>Days 46–60</w:t>
            </w:r>
          </w:p>
        </w:tc>
        <w:tc>
          <w:tcPr>
            <w:tcW w:type="dxa" w:w="5112"/>
            <w:vAlign w:val="center"/>
          </w:tcPr>
          <w:p>
            <w:r>
              <w:t>Resolve diligence, compare terms and make financing decisions.</w:t>
            </w:r>
          </w:p>
        </w:tc>
      </w:tr>
    </w:tbl>
    <w:p>
      <w:pPr>
        <w:pStyle w:val="Heading1"/>
      </w:pPr>
      <w:r>
        <w:t>27. 90-Day Fundraising Operating Plan</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Workstream</w:t>
            </w:r>
          </w:p>
        </w:tc>
        <w:tc>
          <w:tcPr>
            <w:tcW w:type="dxa" w:w="5112"/>
            <w:shd w:fill="1F4E78"/>
          </w:tcPr>
          <w:p>
            <w:r>
              <w:rPr>
                <w:b/>
                <w:color w:val="FFFFFF"/>
              </w:rPr>
              <w:t>90-Day Outcome</w:t>
            </w:r>
          </w:p>
        </w:tc>
      </w:tr>
      <w:tr>
        <w:tc>
          <w:tcPr>
            <w:tcW w:type="dxa" w:w="5112"/>
            <w:vAlign w:val="center"/>
          </w:tcPr>
          <w:p>
            <w:r>
              <w:t>Narrative</w:t>
            </w:r>
          </w:p>
        </w:tc>
        <w:tc>
          <w:tcPr>
            <w:tcW w:type="dxa" w:w="5112"/>
            <w:vAlign w:val="center"/>
          </w:tcPr>
          <w:p>
            <w:r>
              <w:t>Investor story validated through conversations.</w:t>
            </w:r>
          </w:p>
        </w:tc>
      </w:tr>
      <w:tr>
        <w:tc>
          <w:tcPr>
            <w:tcW w:type="dxa" w:w="5112"/>
            <w:vAlign w:val="center"/>
          </w:tcPr>
          <w:p>
            <w:r>
              <w:t>Pipeline</w:t>
            </w:r>
          </w:p>
        </w:tc>
        <w:tc>
          <w:tcPr>
            <w:tcW w:type="dxa" w:w="5112"/>
            <w:vAlign w:val="center"/>
          </w:tcPr>
          <w:p>
            <w:r>
              <w:t>Qualified investor pipeline with clear next steps.</w:t>
            </w:r>
          </w:p>
        </w:tc>
      </w:tr>
      <w:tr>
        <w:tc>
          <w:tcPr>
            <w:tcW w:type="dxa" w:w="5112"/>
            <w:vAlign w:val="center"/>
          </w:tcPr>
          <w:p>
            <w:r>
              <w:t>Diligence</w:t>
            </w:r>
          </w:p>
        </w:tc>
        <w:tc>
          <w:tcPr>
            <w:tcW w:type="dxa" w:w="5112"/>
            <w:vAlign w:val="center"/>
          </w:tcPr>
          <w:p>
            <w:r>
              <w:t>Core data room complete and controlled.</w:t>
            </w:r>
          </w:p>
        </w:tc>
      </w:tr>
      <w:tr>
        <w:tc>
          <w:tcPr>
            <w:tcW w:type="dxa" w:w="5112"/>
            <w:vAlign w:val="center"/>
          </w:tcPr>
          <w:p>
            <w:r>
              <w:t>Economics</w:t>
            </w:r>
          </w:p>
        </w:tc>
        <w:tc>
          <w:tcPr>
            <w:tcW w:type="dxa" w:w="5112"/>
            <w:vAlign w:val="center"/>
          </w:tcPr>
          <w:p>
            <w:r>
              <w:t>Financial model reconciled to actuals.</w:t>
            </w:r>
          </w:p>
        </w:tc>
      </w:tr>
      <w:tr>
        <w:tc>
          <w:tcPr>
            <w:tcW w:type="dxa" w:w="5112"/>
            <w:vAlign w:val="center"/>
          </w:tcPr>
          <w:p>
            <w:r>
              <w:t>Terms</w:t>
            </w:r>
          </w:p>
        </w:tc>
        <w:tc>
          <w:tcPr>
            <w:tcW w:type="dxa" w:w="5112"/>
            <w:vAlign w:val="center"/>
          </w:tcPr>
          <w:p>
            <w:r>
              <w:t>Financing alternatives evaluated.</w:t>
            </w:r>
          </w:p>
        </w:tc>
      </w:tr>
      <w:tr>
        <w:tc>
          <w:tcPr>
            <w:tcW w:type="dxa" w:w="5112"/>
            <w:vAlign w:val="center"/>
          </w:tcPr>
          <w:p>
            <w:r>
              <w:t>Governance</w:t>
            </w:r>
          </w:p>
        </w:tc>
        <w:tc>
          <w:tcPr>
            <w:tcW w:type="dxa" w:w="5112"/>
            <w:vAlign w:val="center"/>
          </w:tcPr>
          <w:p>
            <w:r>
              <w:t>Decision rights and reporting expectations documented.</w:t>
            </w:r>
          </w:p>
        </w:tc>
      </w:tr>
    </w:tbl>
    <w:p>
      <w:pPr>
        <w:pStyle w:val="Heading1"/>
      </w:pPr>
      <w:r>
        <w:t>28. Fundraising Risk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Risk</w:t>
            </w:r>
          </w:p>
        </w:tc>
        <w:tc>
          <w:tcPr>
            <w:tcW w:type="dxa" w:w="3408"/>
            <w:shd w:fill="1F4E78"/>
          </w:tcPr>
          <w:p>
            <w:r>
              <w:rPr>
                <w:b/>
                <w:color w:val="FFFFFF"/>
              </w:rPr>
              <w:t>Early Signal</w:t>
            </w:r>
          </w:p>
        </w:tc>
        <w:tc>
          <w:tcPr>
            <w:tcW w:type="dxa" w:w="3408"/>
            <w:shd w:fill="1F4E78"/>
          </w:tcPr>
          <w:p>
            <w:r>
              <w:rPr>
                <w:b/>
                <w:color w:val="FFFFFF"/>
              </w:rPr>
              <w:t>Response</w:t>
            </w:r>
          </w:p>
        </w:tc>
      </w:tr>
      <w:tr>
        <w:tc>
          <w:tcPr>
            <w:tcW w:type="dxa" w:w="3408"/>
            <w:vAlign w:val="center"/>
          </w:tcPr>
          <w:p>
            <w:r>
              <w:t>Too few qualified investors</w:t>
            </w:r>
          </w:p>
        </w:tc>
        <w:tc>
          <w:tcPr>
            <w:tcW w:type="dxa" w:w="3408"/>
            <w:vAlign w:val="center"/>
          </w:tcPr>
          <w:p>
            <w:r>
              <w:t>Low fit scores / low response</w:t>
            </w:r>
          </w:p>
        </w:tc>
        <w:tc>
          <w:tcPr>
            <w:tcW w:type="dxa" w:w="3408"/>
            <w:vAlign w:val="center"/>
          </w:tcPr>
          <w:p>
            <w:r>
              <w:t>Improve targeting and introductions.</w:t>
            </w:r>
          </w:p>
        </w:tc>
      </w:tr>
      <w:tr>
        <w:tc>
          <w:tcPr>
            <w:tcW w:type="dxa" w:w="3408"/>
            <w:vAlign w:val="center"/>
          </w:tcPr>
          <w:p>
            <w:r>
              <w:t>Repeated traction objections</w:t>
            </w:r>
          </w:p>
        </w:tc>
        <w:tc>
          <w:tcPr>
            <w:tcW w:type="dxa" w:w="3408"/>
            <w:vAlign w:val="center"/>
          </w:tcPr>
          <w:p>
            <w:r>
              <w:t>Same question from multiple investors</w:t>
            </w:r>
          </w:p>
        </w:tc>
        <w:tc>
          <w:tcPr>
            <w:tcW w:type="dxa" w:w="3408"/>
            <w:vAlign w:val="center"/>
          </w:tcPr>
          <w:p>
            <w:r>
              <w:t>Strengthen evidence or narrative.</w:t>
            </w:r>
          </w:p>
        </w:tc>
      </w:tr>
      <w:tr>
        <w:tc>
          <w:tcPr>
            <w:tcW w:type="dxa" w:w="3408"/>
            <w:vAlign w:val="center"/>
          </w:tcPr>
          <w:p>
            <w:r>
              <w:t>Economics concern</w:t>
            </w:r>
          </w:p>
        </w:tc>
        <w:tc>
          <w:tcPr>
            <w:tcW w:type="dxa" w:w="3408"/>
            <w:vAlign w:val="center"/>
          </w:tcPr>
          <w:p>
            <w:r>
              <w:t>CAC/contribution questions</w:t>
            </w:r>
          </w:p>
        </w:tc>
        <w:tc>
          <w:tcPr>
            <w:tcW w:type="dxa" w:w="3408"/>
            <w:vAlign w:val="center"/>
          </w:tcPr>
          <w:p>
            <w:r>
              <w:t>Improve model and unit economics.</w:t>
            </w:r>
          </w:p>
        </w:tc>
      </w:tr>
      <w:tr>
        <w:tc>
          <w:tcPr>
            <w:tcW w:type="dxa" w:w="3408"/>
            <w:vAlign w:val="center"/>
          </w:tcPr>
          <w:p>
            <w:r>
              <w:t>Diligence gaps</w:t>
            </w:r>
          </w:p>
        </w:tc>
        <w:tc>
          <w:tcPr>
            <w:tcW w:type="dxa" w:w="3408"/>
            <w:vAlign w:val="center"/>
          </w:tcPr>
          <w:p>
            <w:r>
              <w:t>Repeated missing-document requests</w:t>
            </w:r>
          </w:p>
        </w:tc>
        <w:tc>
          <w:tcPr>
            <w:tcW w:type="dxa" w:w="3408"/>
            <w:vAlign w:val="center"/>
          </w:tcPr>
          <w:p>
            <w:r>
              <w:t>Complete data room.</w:t>
            </w:r>
          </w:p>
        </w:tc>
      </w:tr>
      <w:tr>
        <w:tc>
          <w:tcPr>
            <w:tcW w:type="dxa" w:w="3408"/>
            <w:vAlign w:val="center"/>
          </w:tcPr>
          <w:p>
            <w:r>
              <w:t>Slow process</w:t>
            </w:r>
          </w:p>
        </w:tc>
        <w:tc>
          <w:tcPr>
            <w:tcW w:type="dxa" w:w="3408"/>
            <w:vAlign w:val="center"/>
          </w:tcPr>
          <w:p>
            <w:r>
              <w:t>No defined next steps</w:t>
            </w:r>
          </w:p>
        </w:tc>
        <w:tc>
          <w:tcPr>
            <w:tcW w:type="dxa" w:w="3408"/>
            <w:vAlign w:val="center"/>
          </w:tcPr>
          <w:p>
            <w:r>
              <w:t>Re-qualify timing and decision process.</w:t>
            </w:r>
          </w:p>
        </w:tc>
      </w:tr>
      <w:tr>
        <w:tc>
          <w:tcPr>
            <w:tcW w:type="dxa" w:w="3408"/>
            <w:vAlign w:val="center"/>
          </w:tcPr>
          <w:p>
            <w:r>
              <w:t>Poor financing terms</w:t>
            </w:r>
          </w:p>
        </w:tc>
        <w:tc>
          <w:tcPr>
            <w:tcW w:type="dxa" w:w="3408"/>
            <w:vAlign w:val="center"/>
          </w:tcPr>
          <w:p>
            <w:r>
              <w:t>Material control/economic burden</w:t>
            </w:r>
          </w:p>
        </w:tc>
        <w:tc>
          <w:tcPr>
            <w:tcW w:type="dxa" w:w="3408"/>
            <w:vAlign w:val="center"/>
          </w:tcPr>
          <w:p>
            <w:r>
              <w:t>Compare alternatives and obtain advice.</w:t>
            </w:r>
          </w:p>
        </w:tc>
      </w:tr>
    </w:tbl>
    <w:p>
      <w:pPr>
        <w:pStyle w:val="Heading1"/>
      </w:pPr>
      <w:r>
        <w:t>29. Investor Relationship Management Principles</w:t>
      </w:r>
    </w:p>
    <w:p>
      <w:pPr>
        <w:pStyle w:val="ListNumber"/>
      </w:pPr>
      <w:r>
        <w:t>Be accurate.</w:t>
      </w:r>
    </w:p>
    <w:p>
      <w:pPr>
        <w:pStyle w:val="ListNumber"/>
      </w:pPr>
      <w:r>
        <w:t>Be concise.</w:t>
      </w:r>
    </w:p>
    <w:p>
      <w:pPr>
        <w:pStyle w:val="ListNumber"/>
      </w:pPr>
      <w:r>
        <w:t>Be responsive.</w:t>
      </w:r>
    </w:p>
    <w:p>
      <w:pPr>
        <w:pStyle w:val="ListNumber"/>
      </w:pPr>
      <w:r>
        <w:t>Do not hide material risks.</w:t>
      </w:r>
    </w:p>
    <w:p>
      <w:pPr>
        <w:pStyle w:val="ListNumber"/>
      </w:pPr>
      <w:r>
        <w:t>Do not promise what ASOJU cannot deliver.</w:t>
      </w:r>
    </w:p>
    <w:p>
      <w:pPr>
        <w:pStyle w:val="ListNumber"/>
      </w:pPr>
      <w:r>
        <w:t>Keep investor-specific notes.</w:t>
      </w:r>
    </w:p>
    <w:p>
      <w:pPr>
        <w:pStyle w:val="ListNumber"/>
      </w:pPr>
      <w:r>
        <w:t>Respect confidentiality.</w:t>
      </w:r>
    </w:p>
    <w:p>
      <w:pPr>
        <w:pStyle w:val="ListNumber"/>
      </w:pPr>
      <w:r>
        <w:t>Maintain momentum without becoming intrusive.</w:t>
      </w:r>
    </w:p>
    <w:p>
      <w:pPr>
        <w:pStyle w:val="ListNumber"/>
      </w:pPr>
      <w:r>
        <w:t>Close loops professionally.</w:t>
      </w:r>
    </w:p>
    <w:p>
      <w:pPr>
        <w:pStyle w:val="Heading1"/>
      </w:pPr>
      <w:r>
        <w:t>30. Fundraising Success Metrics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Metric</w:t>
            </w:r>
          </w:p>
        </w:tc>
        <w:tc>
          <w:tcPr>
            <w:tcW w:type="dxa" w:w="5112"/>
            <w:shd w:fill="1F4E78"/>
          </w:tcPr>
          <w:p>
            <w:r>
              <w:rPr>
                <w:b/>
                <w:color w:val="FFFFFF"/>
              </w:rPr>
              <w:t>Definition</w:t>
            </w:r>
          </w:p>
        </w:tc>
      </w:tr>
      <w:tr>
        <w:tc>
          <w:tcPr>
            <w:tcW w:type="dxa" w:w="5112"/>
            <w:vAlign w:val="center"/>
          </w:tcPr>
          <w:p>
            <w:r>
              <w:t>Qualified investor count</w:t>
            </w:r>
          </w:p>
        </w:tc>
        <w:tc>
          <w:tcPr>
            <w:tcW w:type="dxa" w:w="5112"/>
            <w:vAlign w:val="center"/>
          </w:tcPr>
          <w:p>
            <w:r>
              <w:t>Investors meeting minimum fit criteria.</w:t>
            </w:r>
          </w:p>
        </w:tc>
      </w:tr>
      <w:tr>
        <w:tc>
          <w:tcPr>
            <w:tcW w:type="dxa" w:w="5112"/>
            <w:vAlign w:val="center"/>
          </w:tcPr>
          <w:p>
            <w:r>
              <w:t>Meeting conversion</w:t>
            </w:r>
          </w:p>
        </w:tc>
        <w:tc>
          <w:tcPr>
            <w:tcW w:type="dxa" w:w="5112"/>
            <w:vAlign w:val="center"/>
          </w:tcPr>
          <w:p>
            <w:r>
              <w:t>Qualified targets becoming meetings.</w:t>
            </w:r>
          </w:p>
        </w:tc>
      </w:tr>
      <w:tr>
        <w:tc>
          <w:tcPr>
            <w:tcW w:type="dxa" w:w="5112"/>
            <w:vAlign w:val="center"/>
          </w:tcPr>
          <w:p>
            <w:r>
              <w:t>Diligence conversion</w:t>
            </w:r>
          </w:p>
        </w:tc>
        <w:tc>
          <w:tcPr>
            <w:tcW w:type="dxa" w:w="5112"/>
            <w:vAlign w:val="center"/>
          </w:tcPr>
          <w:p>
            <w:r>
              <w:t>Pitch-stage investors entering diligence.</w:t>
            </w:r>
          </w:p>
        </w:tc>
      </w:tr>
      <w:tr>
        <w:tc>
          <w:tcPr>
            <w:tcW w:type="dxa" w:w="5112"/>
            <w:vAlign w:val="center"/>
          </w:tcPr>
          <w:p>
            <w:r>
              <w:t>Term conversion</w:t>
            </w:r>
          </w:p>
        </w:tc>
        <w:tc>
          <w:tcPr>
            <w:tcW w:type="dxa" w:w="5112"/>
            <w:vAlign w:val="center"/>
          </w:tcPr>
          <w:p>
            <w:r>
              <w:t>Diligence-stage investors reaching term discussion.</w:t>
            </w:r>
          </w:p>
        </w:tc>
      </w:tr>
      <w:tr>
        <w:tc>
          <w:tcPr>
            <w:tcW w:type="dxa" w:w="5112"/>
            <w:vAlign w:val="center"/>
          </w:tcPr>
          <w:p>
            <w:r>
              <w:t>Close rate</w:t>
            </w:r>
          </w:p>
        </w:tc>
        <w:tc>
          <w:tcPr>
            <w:tcW w:type="dxa" w:w="5112"/>
            <w:vAlign w:val="center"/>
          </w:tcPr>
          <w:p>
            <w:r>
              <w:t>Term discussions resulting in completed investment.</w:t>
            </w:r>
          </w:p>
        </w:tc>
      </w:tr>
      <w:tr>
        <w:tc>
          <w:tcPr>
            <w:tcW w:type="dxa" w:w="5112"/>
            <w:vAlign w:val="center"/>
          </w:tcPr>
          <w:p>
            <w:r>
              <w:t>Cycle time</w:t>
            </w:r>
          </w:p>
        </w:tc>
        <w:tc>
          <w:tcPr>
            <w:tcW w:type="dxa" w:w="5112"/>
            <w:vAlign w:val="center"/>
          </w:tcPr>
          <w:p>
            <w:r>
              <w:t>Time from first contact to decision.</w:t>
            </w:r>
          </w:p>
        </w:tc>
      </w:tr>
      <w:tr>
        <w:tc>
          <w:tcPr>
            <w:tcW w:type="dxa" w:w="5112"/>
            <w:vAlign w:val="center"/>
          </w:tcPr>
          <w:p>
            <w:r>
              <w:t>Capital secured</w:t>
            </w:r>
          </w:p>
        </w:tc>
        <w:tc>
          <w:tcPr>
            <w:tcW w:type="dxa" w:w="5112"/>
            <w:vAlign w:val="center"/>
          </w:tcPr>
          <w:p>
            <w:r>
              <w:t>Completed financing amount.</w:t>
            </w:r>
          </w:p>
        </w:tc>
      </w:tr>
      <w:tr>
        <w:tc>
          <w:tcPr>
            <w:tcW w:type="dxa" w:w="5112"/>
            <w:vAlign w:val="center"/>
          </w:tcPr>
          <w:p>
            <w:r>
              <w:t>Strategic value</w:t>
            </w:r>
          </w:p>
        </w:tc>
        <w:tc>
          <w:tcPr>
            <w:tcW w:type="dxa" w:w="5112"/>
            <w:vAlign w:val="center"/>
          </w:tcPr>
          <w:p>
            <w:r>
              <w:t>Value added beyond capital.</w:t>
            </w:r>
          </w:p>
        </w:tc>
      </w:tr>
    </w:tbl>
    <w:p>
      <w:pPr>
        <w:pStyle w:val="Heading1"/>
      </w:pPr>
      <w:r>
        <w:t>31. Master Fundraising Action Register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F4E78"/>
          </w:tcPr>
          <w:p>
            <w:r>
              <w:rPr>
                <w:b/>
                <w:color w:val="FFFFFF"/>
              </w:rPr>
              <w:t>Priority</w:t>
            </w:r>
          </w:p>
        </w:tc>
        <w:tc>
          <w:tcPr>
            <w:tcW w:type="dxa" w:w="1461"/>
            <w:shd w:fill="1F4E78"/>
          </w:tcPr>
          <w:p>
            <w:r>
              <w:rPr>
                <w:b/>
                <w:color w:val="FFFFFF"/>
              </w:rPr>
              <w:t>Action</w:t>
            </w:r>
          </w:p>
        </w:tc>
        <w:tc>
          <w:tcPr>
            <w:tcW w:type="dxa" w:w="1461"/>
            <w:shd w:fill="1F4E78"/>
          </w:tcPr>
          <w:p>
            <w:r>
              <w:rPr>
                <w:b/>
                <w:color w:val="FFFFFF"/>
              </w:rPr>
              <w:t>Owner</w:t>
            </w:r>
          </w:p>
        </w:tc>
        <w:tc>
          <w:tcPr>
            <w:tcW w:type="dxa" w:w="1461"/>
            <w:shd w:fill="1F4E78"/>
          </w:tcPr>
          <w:p>
            <w:r>
              <w:rPr>
                <w:b/>
                <w:color w:val="FFFFFF"/>
              </w:rPr>
              <w:t>Due</w:t>
            </w:r>
          </w:p>
        </w:tc>
        <w:tc>
          <w:tcPr>
            <w:tcW w:type="dxa" w:w="1461"/>
            <w:shd w:fill="1F4E78"/>
          </w:tcPr>
          <w:p>
            <w:r>
              <w:rPr>
                <w:b/>
                <w:color w:val="FFFFFF"/>
              </w:rPr>
              <w:t>Status</w:t>
            </w:r>
          </w:p>
        </w:tc>
        <w:tc>
          <w:tcPr>
            <w:tcW w:type="dxa" w:w="1461"/>
            <w:shd w:fill="1F4E78"/>
          </w:tcPr>
          <w:p>
            <w:r>
              <w:rPr>
                <w:b/>
                <w:color w:val="FFFFFF"/>
              </w:rPr>
              <w:t>Dependency</w:t>
            </w:r>
          </w:p>
        </w:tc>
        <w:tc>
          <w:tcPr>
            <w:tcW w:type="dxa" w:w="1461"/>
            <w:shd w:fill="1F4E78"/>
          </w:tcPr>
          <w:p>
            <w:r>
              <w:rPr>
                <w:b/>
                <w:color w:val="FFFFFF"/>
              </w:rPr>
              <w:t>Outcome</w:t>
            </w:r>
          </w:p>
        </w:tc>
      </w:tr>
      <w:tr>
        <w:tc>
          <w:tcPr>
            <w:tcW w:type="dxa" w:w="1461"/>
            <w:vAlign w:val="center"/>
          </w:tcPr>
          <w:p>
            <w:r>
              <w:t>P0</w:t>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r>
      <w:tr>
        <w:tc>
          <w:tcPr>
            <w:tcW w:type="dxa" w:w="1461"/>
            <w:vAlign w:val="center"/>
          </w:tcPr>
          <w:p>
            <w:r>
              <w:t>P0</w:t>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r>
      <w:tr>
        <w:tc>
          <w:tcPr>
            <w:tcW w:type="dxa" w:w="1461"/>
            <w:vAlign w:val="center"/>
          </w:tcPr>
          <w:p>
            <w:r>
              <w:t>P1</w:t>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r>
      <w:tr>
        <w:tc>
          <w:tcPr>
            <w:tcW w:type="dxa" w:w="1461"/>
            <w:vAlign w:val="center"/>
          </w:tcPr>
          <w:p>
            <w:r>
              <w:t>P1</w:t>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r>
      <w:tr>
        <w:tc>
          <w:tcPr>
            <w:tcW w:type="dxa" w:w="1461"/>
            <w:vAlign w:val="center"/>
          </w:tcPr>
          <w:p>
            <w:r>
              <w:t>P2</w:t>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r>
      <w:tr>
        <w:tc>
          <w:tcPr>
            <w:tcW w:type="dxa" w:w="1461"/>
            <w:vAlign w:val="center"/>
          </w:tcPr>
          <w:p>
            <w:r>
              <w:t>P2</w:t>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c>
          <w:tcPr>
            <w:tcW w:type="dxa" w:w="1461"/>
            <w:vAlign w:val="center"/>
          </w:tcPr>
          <w:p>
            <w:r/>
          </w:p>
        </w:tc>
      </w:tr>
    </w:tbl>
    <w:p>
      <w:pPr>
        <w:pStyle w:val="Heading1"/>
      </w:pPr>
      <w:r>
        <w:t>32. Fundraising Readiness Gate</w:t>
      </w:r>
    </w:p>
    <w:p>
      <w:pPr>
        <w:pStyle w:val="ListBullet"/>
      </w:pPr>
      <w:r>
        <w:t>The customer problem is clearly articulated.</w:t>
      </w:r>
    </w:p>
    <w:p>
      <w:pPr>
        <w:pStyle w:val="ListBullet"/>
      </w:pPr>
      <w:r>
        <w:t>The ICP and use cases are defined.</w:t>
      </w:r>
    </w:p>
    <w:p>
      <w:pPr>
        <w:pStyle w:val="ListBullet"/>
      </w:pPr>
      <w:r>
        <w:t>The customer journey is documented.</w:t>
      </w:r>
    </w:p>
    <w:p>
      <w:pPr>
        <w:pStyle w:val="ListBullet"/>
      </w:pPr>
      <w:r>
        <w:t>Operations can reliably deliver the core promise.</w:t>
      </w:r>
    </w:p>
    <w:p>
      <w:pPr>
        <w:pStyle w:val="ListBullet"/>
      </w:pPr>
      <w:r>
        <w:t>Traction data can be reconciled.</w:t>
      </w:r>
    </w:p>
    <w:p>
      <w:pPr>
        <w:pStyle w:val="ListBullet"/>
      </w:pPr>
      <w:r>
        <w:t>Unit economics can be explained.</w:t>
      </w:r>
    </w:p>
    <w:p>
      <w:pPr>
        <w:pStyle w:val="ListBullet"/>
      </w:pPr>
      <w:r>
        <w:t>Cash and runway are understood.</w:t>
      </w:r>
    </w:p>
    <w:p>
      <w:pPr>
        <w:pStyle w:val="ListBullet"/>
      </w:pPr>
      <w:r>
        <w:t>Use of funds is milestone-based.</w:t>
      </w:r>
    </w:p>
    <w:p>
      <w:pPr>
        <w:pStyle w:val="ListBullet"/>
      </w:pPr>
      <w:r>
        <w:t>The data room is substantially complete.</w:t>
      </w:r>
    </w:p>
    <w:p>
      <w:pPr>
        <w:pStyle w:val="ListBullet"/>
      </w:pPr>
      <w:r>
        <w:t>Leadership can explain major risks and mitigations.</w:t>
      </w:r>
    </w:p>
    <w:p>
      <w:pPr>
        <w:pStyle w:val="Heading1"/>
      </w:pPr>
      <w:r>
        <w:t>33. Final Fundraising Principle</w:t>
      </w:r>
    </w:p>
    <w:p>
      <w:r>
        <w:rPr>
          <w:b/>
        </w:rPr>
        <w:t>Raise capital to accelerate a system that is becoming more repeatable—not to compensate for an unclear customer, weak delivery, broken economics or uncontrolled operations.</w:t>
      </w:r>
    </w:p>
    <w:p>
      <w:pPr>
        <w:pStyle w:val="Heading1"/>
      </w:pPr>
      <w:r>
        <w:t>34. Governance</w:t>
      </w:r>
    </w:p>
    <w:p>
      <w:r>
        <w:rPr>
          <w:b w:val="0"/>
        </w:rPr>
        <w:t>Document owner: ASOJU Leadership / Strategy / Finance.</w:t>
      </w:r>
    </w:p>
    <w:p>
      <w:r>
        <w:rPr>
          <w:b w:val="0"/>
        </w:rPr>
        <w:t>Version: 1.0 | Investor Targeting, Outreach, Meetings &amp; Deal Process.</w:t>
      </w:r>
    </w:p>
    <w:p>
      <w:r>
        <w:rPr>
          <w:b w:val="0"/>
        </w:rPr>
        <w:t>Use with the ASOJU Board/Investor Readiness Playbook, Investor Pitch Deck Content &amp; Fundraising Narrative, Fundraising Financial Model, Master Operating Plan and all functional playbooks.</w:t>
      </w:r>
    </w:p>
    <w:p>
      <w:r>
        <w:rPr>
          <w:b w:val="0"/>
        </w:rPr>
        <w:t>Before any financing commitment, obtain appropriate legal, accounting and financial advice for the actual transaction and jurisdiction.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ASOJU | Investor Outreach &amp; Fundraising Execution Playbook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