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P0 EXECUTIVE LAUNCH</w:t>
        <w:br/>
        <w:t>&amp; 100-CUSTOMER PILOT COMMAND CENTER</w:t>
      </w:r>
    </w:p>
    <w:p>
      <w:pPr>
        <w:jc w:val="center"/>
      </w:pPr>
      <w:r>
        <w:rPr>
          <w:b/>
        </w:rPr>
        <w:t>Version 1.0 | Executive Operating Document</w:t>
      </w:r>
    </w:p>
    <w:p>
      <w:r>
        <w:rPr>
          <w:b w:val="0"/>
        </w:rPr>
        <w:t>Brand: ASOJU — Your Trusted Rep Back Home.</w:t>
      </w:r>
    </w:p>
    <w:p>
      <w:r>
        <w:rPr>
          <w:b w:val="0"/>
        </w:rPr>
        <w:t>Purpose: provide one management-level command document for launching the P0 pilot, coordinating the first 100 customers, managing readiness, tracking KPIs, resolving risks and converting pilot learning into the next operating/product cycle.</w:t>
      </w:r>
    </w:p>
    <w:p>
      <w:r>
        <w:rPr>
          <w:b w:val="0"/>
        </w:rPr>
        <w:t>Baseline: ASOJU P0 Technical Architecture &amp; Data Model; API Specification &amp; Integration Contracts; Database Schema &amp; ERD; Security, Privacy &amp; Trust Architecture; QA/UAT/Pilot Acceptance Test Plan; Production Operations &amp; Support Runbook; and the established ASOJU P0 GTM/Customer Experience workstream.</w:t>
      </w:r>
    </w:p>
    <w:p>
      <w:pPr>
        <w:pStyle w:val="Heading1"/>
      </w:pPr>
      <w:r>
        <w:t>1. Executive Mandate</w:t>
      </w:r>
    </w:p>
    <w:p>
      <w:r>
        <w:rPr>
          <w:b w:val="0"/>
        </w:rPr>
        <w:t>The P0 pilot is a controlled proof that ASOJU can reliably deliver its core promise: trusted representation back home for customers who need someone credible to act, verify, coordinate and report on their behalf.</w:t>
      </w:r>
    </w:p>
    <w:p>
      <w:r>
        <w:rPr>
          <w:b/>
        </w:rPr>
        <w:t>The objective is not maximum volume. The objective is repeatable trust, operational reliability and evidence-backed outcomes.</w:t>
      </w:r>
    </w:p>
    <w:p>
      <w:pPr>
        <w:pStyle w:val="Heading1"/>
      </w:pPr>
      <w:r>
        <w:t>2. P0 Pilot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Objective</w:t>
            </w:r>
          </w:p>
        </w:tc>
        <w:tc>
          <w:tcPr>
            <w:tcW w:type="dxa" w:w="5112"/>
          </w:tcPr>
          <w:p>
            <w:r>
              <w:t>Definition of Success</w:t>
            </w:r>
          </w:p>
        </w:tc>
      </w:tr>
      <w:tr>
        <w:tc>
          <w:tcPr>
            <w:tcW w:type="dxa" w:w="5112"/>
          </w:tcPr>
          <w:p>
            <w:r>
              <w:t>Customer value</w:t>
            </w:r>
          </w:p>
        </w:tc>
        <w:tc>
          <w:tcPr>
            <w:tcW w:type="dxa" w:w="5112"/>
          </w:tcPr>
          <w:p>
            <w:r>
              <w:t>Customers understand what ASOJU will do, receive a credible outcome and can see evidence of execution.</w:t>
            </w:r>
          </w:p>
        </w:tc>
      </w:tr>
      <w:tr>
        <w:tc>
          <w:tcPr>
            <w:tcW w:type="dxa" w:w="5112"/>
          </w:tcPr>
          <w:p>
            <w:r>
              <w:t>Operational reliability</w:t>
            </w:r>
          </w:p>
        </w:tc>
        <w:tc>
          <w:tcPr>
            <w:tcW w:type="dxa" w:w="5112"/>
          </w:tcPr>
          <w:p>
            <w:r>
              <w:t>Cases move through the defined lifecycle with accountable ownership and clear next actions.</w:t>
            </w:r>
          </w:p>
        </w:tc>
      </w:tr>
      <w:tr>
        <w:tc>
          <w:tcPr>
            <w:tcW w:type="dxa" w:w="5112"/>
          </w:tcPr>
          <w:p>
            <w:r>
              <w:t>Trust</w:t>
            </w:r>
          </w:p>
        </w:tc>
        <w:tc>
          <w:tcPr>
            <w:tcW w:type="dxa" w:w="5112"/>
          </w:tcPr>
          <w:p>
            <w:r>
              <w:t>Scope, payment, representative, evidence, QC and delivery remain traceable.</w:t>
            </w:r>
          </w:p>
        </w:tc>
      </w:tr>
      <w:tr>
        <w:tc>
          <w:tcPr>
            <w:tcW w:type="dxa" w:w="5112"/>
          </w:tcPr>
          <w:p>
            <w:r>
              <w:t>Commercial proof</w:t>
            </w:r>
          </w:p>
        </w:tc>
        <w:tc>
          <w:tcPr>
            <w:tcW w:type="dxa" w:w="5112"/>
          </w:tcPr>
          <w:p>
            <w:r>
              <w:t>The pilot validates willingness to pay and identifies repeatable service economics.</w:t>
            </w:r>
          </w:p>
        </w:tc>
      </w:tr>
      <w:tr>
        <w:tc>
          <w:tcPr>
            <w:tcW w:type="dxa" w:w="5112"/>
          </w:tcPr>
          <w:p>
            <w:r>
              <w:t>Quality</w:t>
            </w:r>
          </w:p>
        </w:tc>
        <w:tc>
          <w:tcPr>
            <w:tcW w:type="dxa" w:w="5112"/>
          </w:tcPr>
          <w:p>
            <w:r>
              <w:t>QC/rework mechanisms catch execution issues before customer delivery.</w:t>
            </w:r>
          </w:p>
        </w:tc>
      </w:tr>
      <w:tr>
        <w:tc>
          <w:tcPr>
            <w:tcW w:type="dxa" w:w="5112"/>
          </w:tcPr>
          <w:p>
            <w:r>
              <w:t>Learning</w:t>
            </w:r>
          </w:p>
        </w:tc>
        <w:tc>
          <w:tcPr>
            <w:tcW w:type="dxa" w:w="5112"/>
          </w:tcPr>
          <w:p>
            <w:r>
              <w:t>The first 100 customers generate prioritized evidence for product/GTM/operations decisions.</w:t>
            </w:r>
          </w:p>
        </w:tc>
      </w:tr>
      <w:tr>
        <w:tc>
          <w:tcPr>
            <w:tcW w:type="dxa" w:w="5112"/>
          </w:tcPr>
          <w:p>
            <w:r>
              <w:t>Scale readiness</w:t>
            </w:r>
          </w:p>
        </w:tc>
        <w:tc>
          <w:tcPr>
            <w:tcW w:type="dxa" w:w="5112"/>
          </w:tcPr>
          <w:p>
            <w:r>
              <w:t>The team knows which constraints must be fixed before materially increasing volume.</w:t>
            </w:r>
          </w:p>
        </w:tc>
      </w:tr>
    </w:tbl>
    <w:p>
      <w:pPr>
        <w:pStyle w:val="Heading1"/>
      </w:pPr>
      <w:r>
        <w:t>3. Command Center Principles</w:t>
      </w:r>
    </w:p>
    <w:p>
      <w:pPr>
        <w:pStyle w:val="ListNumber"/>
      </w:pPr>
      <w:r>
        <w:t>One source of truth for pilot status.</w:t>
      </w:r>
    </w:p>
    <w:p>
      <w:pPr>
        <w:pStyle w:val="ListNumber"/>
      </w:pPr>
      <w:r>
        <w:t>Every red metric has an owner.</w:t>
      </w:r>
    </w:p>
    <w:p>
      <w:pPr>
        <w:pStyle w:val="ListNumber"/>
      </w:pPr>
      <w:r>
        <w:t>Every active case has a next action.</w:t>
      </w:r>
    </w:p>
    <w:p>
      <w:pPr>
        <w:pStyle w:val="ListNumber"/>
      </w:pPr>
      <w:r>
        <w:t>Every material risk has a decision date.</w:t>
      </w:r>
    </w:p>
    <w:p>
      <w:pPr>
        <w:pStyle w:val="ListNumber"/>
      </w:pPr>
      <w:r>
        <w:t>Every launch gate has explicit evidence.</w:t>
      </w:r>
    </w:p>
    <w:p>
      <w:pPr>
        <w:pStyle w:val="ListNumber"/>
      </w:pPr>
      <w:r>
        <w:t>Customer trust outranks vanity volume.</w:t>
      </w:r>
    </w:p>
    <w:p>
      <w:pPr>
        <w:pStyle w:val="ListNumber"/>
      </w:pPr>
      <w:r>
        <w:t>Manual fallback is acceptable during P0 when it protects service quality.</w:t>
      </w:r>
    </w:p>
    <w:p>
      <w:pPr>
        <w:pStyle w:val="ListNumber"/>
      </w:pPr>
      <w:r>
        <w:t>Automate only after the workflow is understood and repeatable.</w:t>
      </w:r>
    </w:p>
    <w:p>
      <w:pPr>
        <w:pStyle w:val="Heading1"/>
      </w:pPr>
      <w:r>
        <w:t>4. Executive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Dimension</w:t>
            </w:r>
          </w:p>
        </w:tc>
        <w:tc>
          <w:tcPr>
            <w:tcW w:type="dxa" w:w="2556"/>
          </w:tcPr>
          <w:p>
            <w:r>
              <w:t>Core KPI</w:t>
            </w:r>
          </w:p>
        </w:tc>
        <w:tc>
          <w:tcPr>
            <w:tcW w:type="dxa" w:w="2556"/>
          </w:tcPr>
          <w:p>
            <w:r>
              <w:t>Cadence</w:t>
            </w:r>
          </w:p>
        </w:tc>
        <w:tc>
          <w:tcPr>
            <w:tcW w:type="dxa" w:w="2556"/>
          </w:tcPr>
          <w:p>
            <w:r>
              <w:t>Owner</w:t>
            </w:r>
          </w:p>
        </w:tc>
      </w:tr>
      <w:tr>
        <w:tc>
          <w:tcPr>
            <w:tcW w:type="dxa" w:w="2556"/>
          </w:tcPr>
          <w:p>
            <w:r>
              <w:t>Demand</w:t>
            </w:r>
          </w:p>
        </w:tc>
        <w:tc>
          <w:tcPr>
            <w:tcW w:type="dxa" w:w="2556"/>
          </w:tcPr>
          <w:p>
            <w:r>
              <w:t>Qualified leads</w:t>
            </w:r>
          </w:p>
        </w:tc>
        <w:tc>
          <w:tcPr>
            <w:tcW w:type="dxa" w:w="2556"/>
          </w:tcPr>
          <w:p>
            <w:r>
              <w:t>Daily/Weekly</w:t>
            </w:r>
          </w:p>
        </w:tc>
        <w:tc>
          <w:tcPr>
            <w:tcW w:type="dxa" w:w="2556"/>
          </w:tcPr>
          <w:p>
            <w:r>
              <w:t>GTM/Concierge</w:t>
            </w:r>
          </w:p>
        </w:tc>
      </w:tr>
      <w:tr>
        <w:tc>
          <w:tcPr>
            <w:tcW w:type="dxa" w:w="2556"/>
          </w:tcPr>
          <w:p>
            <w:r>
              <w:t>Conversion</w:t>
            </w:r>
          </w:p>
        </w:tc>
        <w:tc>
          <w:tcPr>
            <w:tcW w:type="dxa" w:w="2556"/>
          </w:tcPr>
          <w:p>
            <w:r>
              <w:t>Lead → case conversion</w:t>
            </w:r>
          </w:p>
        </w:tc>
        <w:tc>
          <w:tcPr>
            <w:tcW w:type="dxa" w:w="2556"/>
          </w:tcPr>
          <w:p>
            <w:r>
              <w:t>Weekly</w:t>
            </w:r>
          </w:p>
        </w:tc>
        <w:tc>
          <w:tcPr>
            <w:tcW w:type="dxa" w:w="2556"/>
          </w:tcPr>
          <w:p>
            <w:r>
              <w:t>GTM/Product</w:t>
            </w:r>
          </w:p>
        </w:tc>
      </w:tr>
      <w:tr>
        <w:tc>
          <w:tcPr>
            <w:tcW w:type="dxa" w:w="2556"/>
          </w:tcPr>
          <w:p>
            <w:r>
              <w:t>Activation</w:t>
            </w:r>
          </w:p>
        </w:tc>
        <w:tc>
          <w:tcPr>
            <w:tcW w:type="dxa" w:w="2556"/>
          </w:tcPr>
          <w:p>
            <w:r>
              <w:t>Case → paid/active</w:t>
            </w:r>
          </w:p>
        </w:tc>
        <w:tc>
          <w:tcPr>
            <w:tcW w:type="dxa" w:w="2556"/>
          </w:tcPr>
          <w:p>
            <w:r>
              <w:t>Weekly</w:t>
            </w:r>
          </w:p>
        </w:tc>
        <w:tc>
          <w:tcPr>
            <w:tcW w:type="dxa" w:w="2556"/>
          </w:tcPr>
          <w:p>
            <w:r>
              <w:t>GTM/Finance</w:t>
            </w:r>
          </w:p>
        </w:tc>
      </w:tr>
      <w:tr>
        <w:tc>
          <w:tcPr>
            <w:tcW w:type="dxa" w:w="2556"/>
          </w:tcPr>
          <w:p>
            <w:r>
              <w:t>Operations</w:t>
            </w:r>
          </w:p>
        </w:tc>
        <w:tc>
          <w:tcPr>
            <w:tcW w:type="dxa" w:w="2556"/>
          </w:tcPr>
          <w:p>
            <w:r>
              <w:t>Active cases by state</w:t>
            </w:r>
          </w:p>
        </w:tc>
        <w:tc>
          <w:tcPr>
            <w:tcW w:type="dxa" w:w="2556"/>
          </w:tcPr>
          <w:p>
            <w:r>
              <w:t>Daily</w:t>
            </w:r>
          </w:p>
        </w:tc>
        <w:tc>
          <w:tcPr>
            <w:tcW w:type="dxa" w:w="2556"/>
          </w:tcPr>
          <w:p>
            <w:r>
              <w:t>Operations</w:t>
            </w:r>
          </w:p>
        </w:tc>
      </w:tr>
      <w:tr>
        <w:tc>
          <w:tcPr>
            <w:tcW w:type="dxa" w:w="2556"/>
          </w:tcPr>
          <w:p>
            <w:r>
              <w:t>Reliability</w:t>
            </w:r>
          </w:p>
        </w:tc>
        <w:tc>
          <w:tcPr>
            <w:tcW w:type="dxa" w:w="2556"/>
          </w:tcPr>
          <w:p>
            <w:r>
              <w:t>SLA adherence</w:t>
            </w:r>
          </w:p>
        </w:tc>
        <w:tc>
          <w:tcPr>
            <w:tcW w:type="dxa" w:w="2556"/>
          </w:tcPr>
          <w:p>
            <w:r>
              <w:t>Daily/Weekly</w:t>
            </w:r>
          </w:p>
        </w:tc>
        <w:tc>
          <w:tcPr>
            <w:tcW w:type="dxa" w:w="2556"/>
          </w:tcPr>
          <w:p>
            <w:r>
              <w:t>Operations</w:t>
            </w:r>
          </w:p>
        </w:tc>
      </w:tr>
      <w:tr>
        <w:tc>
          <w:tcPr>
            <w:tcW w:type="dxa" w:w="2556"/>
          </w:tcPr>
          <w:p>
            <w:r>
              <w:t>Field</w:t>
            </w:r>
          </w:p>
        </w:tc>
        <w:tc>
          <w:tcPr>
            <w:tcW w:type="dxa" w:w="2556"/>
          </w:tcPr>
          <w:p>
            <w:r>
              <w:t>On-time execution</w:t>
            </w:r>
          </w:p>
        </w:tc>
        <w:tc>
          <w:tcPr>
            <w:tcW w:type="dxa" w:w="2556"/>
          </w:tcPr>
          <w:p>
            <w:r>
              <w:t>Weekly</w:t>
            </w:r>
          </w:p>
        </w:tc>
        <w:tc>
          <w:tcPr>
            <w:tcW w:type="dxa" w:w="2556"/>
          </w:tcPr>
          <w:p>
            <w:r>
              <w:t>Field Ops</w:t>
            </w:r>
          </w:p>
        </w:tc>
      </w:tr>
      <w:tr>
        <w:tc>
          <w:tcPr>
            <w:tcW w:type="dxa" w:w="2556"/>
          </w:tcPr>
          <w:p>
            <w:r>
              <w:t>Quality</w:t>
            </w:r>
          </w:p>
        </w:tc>
        <w:tc>
          <w:tcPr>
            <w:tcW w:type="dxa" w:w="2556"/>
          </w:tcPr>
          <w:p>
            <w:r>
              <w:t>QC first-pass rate</w:t>
            </w:r>
          </w:p>
        </w:tc>
        <w:tc>
          <w:tcPr>
            <w:tcW w:type="dxa" w:w="2556"/>
          </w:tcPr>
          <w:p>
            <w:r>
              <w:t>Weekly</w:t>
            </w:r>
          </w:p>
        </w:tc>
        <w:tc>
          <w:tcPr>
            <w:tcW w:type="dxa" w:w="2556"/>
          </w:tcPr>
          <w:p>
            <w:r>
              <w:t>QC</w:t>
            </w:r>
          </w:p>
        </w:tc>
      </w:tr>
      <w:tr>
        <w:tc>
          <w:tcPr>
            <w:tcW w:type="dxa" w:w="2556"/>
          </w:tcPr>
          <w:p>
            <w:r>
              <w:t>Rework</w:t>
            </w:r>
          </w:p>
        </w:tc>
        <w:tc>
          <w:tcPr>
            <w:tcW w:type="dxa" w:w="2556"/>
          </w:tcPr>
          <w:p>
            <w:r>
              <w:t>Rework rate</w:t>
            </w:r>
          </w:p>
        </w:tc>
        <w:tc>
          <w:tcPr>
            <w:tcW w:type="dxa" w:w="2556"/>
          </w:tcPr>
          <w:p>
            <w:r>
              <w:t>Weekly</w:t>
            </w:r>
          </w:p>
        </w:tc>
        <w:tc>
          <w:tcPr>
            <w:tcW w:type="dxa" w:w="2556"/>
          </w:tcPr>
          <w:p>
            <w:r>
              <w:t>QC/Ops</w:t>
            </w:r>
          </w:p>
        </w:tc>
      </w:tr>
      <w:tr>
        <w:tc>
          <w:tcPr>
            <w:tcW w:type="dxa" w:w="2556"/>
          </w:tcPr>
          <w:p>
            <w:r>
              <w:t>Customer</w:t>
            </w:r>
          </w:p>
        </w:tc>
        <w:tc>
          <w:tcPr>
            <w:tcW w:type="dxa" w:w="2556"/>
          </w:tcPr>
          <w:p>
            <w:r>
              <w:t>Satisfaction/trust signal</w:t>
            </w:r>
          </w:p>
        </w:tc>
        <w:tc>
          <w:tcPr>
            <w:tcW w:type="dxa" w:w="2556"/>
          </w:tcPr>
          <w:p>
            <w:r>
              <w:t>Weekly</w:t>
            </w:r>
          </w:p>
        </w:tc>
        <w:tc>
          <w:tcPr>
            <w:tcW w:type="dxa" w:w="2556"/>
          </w:tcPr>
          <w:p>
            <w:r>
              <w:t>CX</w:t>
            </w:r>
          </w:p>
        </w:tc>
      </w:tr>
      <w:tr>
        <w:tc>
          <w:tcPr>
            <w:tcW w:type="dxa" w:w="2556"/>
          </w:tcPr>
          <w:p>
            <w:r>
              <w:t>Commercial</w:t>
            </w:r>
          </w:p>
        </w:tc>
        <w:tc>
          <w:tcPr>
            <w:tcW w:type="dxa" w:w="2556"/>
          </w:tcPr>
          <w:p>
            <w:r>
              <w:t>Payment success/reconciliation</w:t>
            </w:r>
          </w:p>
        </w:tc>
        <w:tc>
          <w:tcPr>
            <w:tcW w:type="dxa" w:w="2556"/>
          </w:tcPr>
          <w:p>
            <w:r>
              <w:t>Daily/Weekly</w:t>
            </w:r>
          </w:p>
        </w:tc>
        <w:tc>
          <w:tcPr>
            <w:tcW w:type="dxa" w:w="2556"/>
          </w:tcPr>
          <w:p>
            <w:r>
              <w:t>Finance</w:t>
            </w:r>
          </w:p>
        </w:tc>
      </w:tr>
      <w:tr>
        <w:tc>
          <w:tcPr>
            <w:tcW w:type="dxa" w:w="2556"/>
          </w:tcPr>
          <w:p>
            <w:r>
              <w:t>Growth</w:t>
            </w:r>
          </w:p>
        </w:tc>
        <w:tc>
          <w:tcPr>
            <w:tcW w:type="dxa" w:w="2556"/>
          </w:tcPr>
          <w:p>
            <w:r>
              <w:t>Referral/repeat intent</w:t>
            </w:r>
          </w:p>
        </w:tc>
        <w:tc>
          <w:tcPr>
            <w:tcW w:type="dxa" w:w="2556"/>
          </w:tcPr>
          <w:p>
            <w:r>
              <w:t>Weekly</w:t>
            </w:r>
          </w:p>
        </w:tc>
        <w:tc>
          <w:tcPr>
            <w:tcW w:type="dxa" w:w="2556"/>
          </w:tcPr>
          <w:p>
            <w:r>
              <w:t>GTM/CX</w:t>
            </w:r>
          </w:p>
        </w:tc>
      </w:tr>
      <w:tr>
        <w:tc>
          <w:tcPr>
            <w:tcW w:type="dxa" w:w="2556"/>
          </w:tcPr>
          <w:p>
            <w:r>
              <w:t>Risk</w:t>
            </w:r>
          </w:p>
        </w:tc>
        <w:tc>
          <w:tcPr>
            <w:tcW w:type="dxa" w:w="2556"/>
          </w:tcPr>
          <w:p>
            <w:r>
              <w:t>P0/P1 incidents</w:t>
            </w:r>
          </w:p>
        </w:tc>
        <w:tc>
          <w:tcPr>
            <w:tcW w:type="dxa" w:w="2556"/>
          </w:tcPr>
          <w:p>
            <w:r>
              <w:t>Immediate/Weekly</w:t>
            </w:r>
          </w:p>
        </w:tc>
        <w:tc>
          <w:tcPr>
            <w:tcW w:type="dxa" w:w="2556"/>
          </w:tcPr>
          <w:p>
            <w:r>
              <w:t>Technology/Risk</w:t>
            </w:r>
          </w:p>
        </w:tc>
      </w:tr>
    </w:tbl>
    <w:p>
      <w:pPr>
        <w:pStyle w:val="Heading1"/>
      </w:pPr>
      <w:r>
        <w:t>5. 100-Customer Pilot Funnel</w:t>
      </w:r>
    </w:p>
    <w:p>
      <w:r>
        <w:rPr>
          <w:b w:val="0"/>
        </w:rPr>
        <w:t>The funnel should be managed as a sequence, not a single acquisition number.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Command Metric</w:t>
            </w:r>
          </w:p>
        </w:tc>
        <w:tc>
          <w:tcPr>
            <w:tcW w:type="dxa" w:w="3408"/>
          </w:tcPr>
          <w:p>
            <w:r>
              <w:t>Management Question</w:t>
            </w:r>
          </w:p>
        </w:tc>
      </w:tr>
      <w:tr>
        <w:tc>
          <w:tcPr>
            <w:tcW w:type="dxa" w:w="3408"/>
          </w:tcPr>
          <w:p>
            <w:r>
              <w:t>Reach</w:t>
            </w:r>
          </w:p>
        </w:tc>
        <w:tc>
          <w:tcPr>
            <w:tcW w:type="dxa" w:w="3408"/>
          </w:tcPr>
          <w:p>
            <w:r>
              <w:t>Qualified target accounts/people</w:t>
            </w:r>
          </w:p>
        </w:tc>
        <w:tc>
          <w:tcPr>
            <w:tcW w:type="dxa" w:w="3408"/>
          </w:tcPr>
          <w:p>
            <w:r>
              <w:t>Are we reaching the right ICP?</w:t>
            </w:r>
          </w:p>
        </w:tc>
      </w:tr>
      <w:tr>
        <w:tc>
          <w:tcPr>
            <w:tcW w:type="dxa" w:w="3408"/>
          </w:tcPr>
          <w:p>
            <w:r>
              <w:t>Engaged</w:t>
            </w:r>
          </w:p>
        </w:tc>
        <w:tc>
          <w:tcPr>
            <w:tcW w:type="dxa" w:w="3408"/>
          </w:tcPr>
          <w:p>
            <w:r>
              <w:t>Meaningful conversations</w:t>
            </w:r>
          </w:p>
        </w:tc>
        <w:tc>
          <w:tcPr>
            <w:tcW w:type="dxa" w:w="3408"/>
          </w:tcPr>
          <w:p>
            <w:r>
              <w:t>Is the problem resonating?</w:t>
            </w:r>
          </w:p>
        </w:tc>
      </w:tr>
      <w:tr>
        <w:tc>
          <w:tcPr>
            <w:tcW w:type="dxa" w:w="3408"/>
          </w:tcPr>
          <w:p>
            <w:r>
              <w:t>Qualified</w:t>
            </w:r>
          </w:p>
        </w:tc>
        <w:tc>
          <w:tcPr>
            <w:tcW w:type="dxa" w:w="3408"/>
          </w:tcPr>
          <w:p>
            <w:r>
              <w:t>Validated use cases</w:t>
            </w:r>
          </w:p>
        </w:tc>
        <w:tc>
          <w:tcPr>
            <w:tcW w:type="dxa" w:w="3408"/>
          </w:tcPr>
          <w:p>
            <w:r>
              <w:t>Are we selecting cases ASOJU can deliver well?</w:t>
            </w:r>
          </w:p>
        </w:tc>
      </w:tr>
      <w:tr>
        <w:tc>
          <w:tcPr>
            <w:tcW w:type="dxa" w:w="3408"/>
          </w:tcPr>
          <w:p>
            <w:r>
              <w:t>Scoped</w:t>
            </w:r>
          </w:p>
        </w:tc>
        <w:tc>
          <w:tcPr>
            <w:tcW w:type="dxa" w:w="3408"/>
          </w:tcPr>
          <w:p>
            <w:r>
              <w:t>Approved scope opportunities</w:t>
            </w:r>
          </w:p>
        </w:tc>
        <w:tc>
          <w:tcPr>
            <w:tcW w:type="dxa" w:w="3408"/>
          </w:tcPr>
          <w:p>
            <w:r>
              <w:t>Can we define the work clearly?</w:t>
            </w:r>
          </w:p>
        </w:tc>
      </w:tr>
      <w:tr>
        <w:tc>
          <w:tcPr>
            <w:tcW w:type="dxa" w:w="3408"/>
          </w:tcPr>
          <w:p>
            <w:r>
              <w:t>Quoted</w:t>
            </w:r>
          </w:p>
        </w:tc>
        <w:tc>
          <w:tcPr>
            <w:tcW w:type="dxa" w:w="3408"/>
          </w:tcPr>
          <w:p>
            <w:r>
              <w:t>Quotes issued</w:t>
            </w:r>
          </w:p>
        </w:tc>
        <w:tc>
          <w:tcPr>
            <w:tcW w:type="dxa" w:w="3408"/>
          </w:tcPr>
          <w:p>
            <w:r>
              <w:t>Is the value proposition commercially clear?</w:t>
            </w:r>
          </w:p>
        </w:tc>
      </w:tr>
      <w:tr>
        <w:tc>
          <w:tcPr>
            <w:tcW w:type="dxa" w:w="3408"/>
          </w:tcPr>
          <w:p>
            <w:r>
              <w:t>Paid/Active</w:t>
            </w:r>
          </w:p>
        </w:tc>
        <w:tc>
          <w:tcPr>
            <w:tcW w:type="dxa" w:w="3408"/>
          </w:tcPr>
          <w:p>
            <w:r>
              <w:t>Paid or otherwise activated cases</w:t>
            </w:r>
          </w:p>
        </w:tc>
        <w:tc>
          <w:tcPr>
            <w:tcW w:type="dxa" w:w="3408"/>
          </w:tcPr>
          <w:p>
            <w:r>
              <w:t>Will customers commit?</w:t>
            </w:r>
          </w:p>
        </w:tc>
      </w:tr>
      <w:tr>
        <w:tc>
          <w:tcPr>
            <w:tcW w:type="dxa" w:w="3408"/>
          </w:tcPr>
          <w:p>
            <w:r>
              <w:t>Executed</w:t>
            </w:r>
          </w:p>
        </w:tc>
        <w:tc>
          <w:tcPr>
            <w:tcW w:type="dxa" w:w="3408"/>
          </w:tcPr>
          <w:p>
            <w:r>
              <w:t>Field work completed</w:t>
            </w:r>
          </w:p>
        </w:tc>
        <w:tc>
          <w:tcPr>
            <w:tcW w:type="dxa" w:w="3408"/>
          </w:tcPr>
          <w:p>
            <w:r>
              <w:t>Can the operating system deliver?</w:t>
            </w:r>
          </w:p>
        </w:tc>
      </w:tr>
      <w:tr>
        <w:tc>
          <w:tcPr>
            <w:tcW w:type="dxa" w:w="3408"/>
          </w:tcPr>
          <w:p>
            <w:r>
              <w:t>QC Passed</w:t>
            </w:r>
          </w:p>
        </w:tc>
        <w:tc>
          <w:tcPr>
            <w:tcW w:type="dxa" w:w="3408"/>
          </w:tcPr>
          <w:p>
            <w:r>
              <w:t>Quality-approved cases</w:t>
            </w:r>
          </w:p>
        </w:tc>
        <w:tc>
          <w:tcPr>
            <w:tcW w:type="dxa" w:w="3408"/>
          </w:tcPr>
          <w:p>
            <w:r>
              <w:t>Is the output trustworthy?</w:t>
            </w:r>
          </w:p>
        </w:tc>
      </w:tr>
      <w:tr>
        <w:tc>
          <w:tcPr>
            <w:tcW w:type="dxa" w:w="3408"/>
          </w:tcPr>
          <w:p>
            <w:r>
              <w:t>Delivered</w:t>
            </w:r>
          </w:p>
        </w:tc>
        <w:tc>
          <w:tcPr>
            <w:tcW w:type="dxa" w:w="3408"/>
          </w:tcPr>
          <w:p>
            <w:r>
              <w:t>Customer outcome delivered</w:t>
            </w:r>
          </w:p>
        </w:tc>
        <w:tc>
          <w:tcPr>
            <w:tcW w:type="dxa" w:w="3408"/>
          </w:tcPr>
          <w:p>
            <w:r>
              <w:t>Did ASOJU complete the promise?</w:t>
            </w:r>
          </w:p>
        </w:tc>
      </w:tr>
      <w:tr>
        <w:tc>
          <w:tcPr>
            <w:tcW w:type="dxa" w:w="3408"/>
          </w:tcPr>
          <w:p>
            <w:r>
              <w:t>Satisfied</w:t>
            </w:r>
          </w:p>
        </w:tc>
        <w:tc>
          <w:tcPr>
            <w:tcW w:type="dxa" w:w="3408"/>
          </w:tcPr>
          <w:p>
            <w:r>
              <w:t>Positive outcome/feedback</w:t>
            </w:r>
          </w:p>
        </w:tc>
        <w:tc>
          <w:tcPr>
            <w:tcW w:type="dxa" w:w="3408"/>
          </w:tcPr>
          <w:p>
            <w:r>
              <w:t>Would they use or recommend ASOJU?</w:t>
            </w:r>
          </w:p>
        </w:tc>
      </w:tr>
    </w:tbl>
    <w:p>
      <w:pPr>
        <w:pStyle w:val="Heading1"/>
      </w:pPr>
      <w:r>
        <w:t>6. 100-Customer Pilot Targeting</w:t>
      </w:r>
    </w:p>
    <w:p>
      <w:r>
        <w:rPr>
          <w:b w:val="0"/>
        </w:rPr>
        <w:t>The 100-customer target should be treated as a controlled cohort, not a blind volume target.</w:t>
      </w:r>
    </w:p>
    <w:p>
      <w:pPr>
        <w:pStyle w:val="ListBullet"/>
      </w:pPr>
      <w:r>
        <w:t>Prioritize the agreed Ideal Customer Profile.</w:t>
      </w:r>
    </w:p>
    <w:p>
      <w:pPr>
        <w:pStyle w:val="ListBullet"/>
      </w:pPr>
      <w:r>
        <w:t>Prioritize use cases that are operationally repeatable.</w:t>
      </w:r>
    </w:p>
    <w:p>
      <w:pPr>
        <w:pStyle w:val="ListBullet"/>
      </w:pPr>
      <w:r>
        <w:t>Prefer cases where evidence-backed representation creates obvious value.</w:t>
      </w:r>
    </w:p>
    <w:p>
      <w:pPr>
        <w:pStyle w:val="ListBullet"/>
      </w:pPr>
      <w:r>
        <w:t>Avoid overloading the pilot with unusually complex or high-risk cases before the core workflow is proven.</w:t>
      </w:r>
    </w:p>
    <w:p>
      <w:pPr>
        <w:pStyle w:val="ListBullet"/>
      </w:pPr>
      <w:r>
        <w:t>Track source/channel for every qualified lead.</w:t>
      </w:r>
    </w:p>
    <w:p>
      <w:pPr>
        <w:pStyle w:val="ListBullet"/>
      </w:pPr>
      <w:r>
        <w:t>Track service mix so the pilot does not accidentally validate only one narrow use case.</w:t>
      </w:r>
    </w:p>
    <w:p>
      <w:pPr>
        <w:pStyle w:val="Heading1"/>
      </w:pPr>
      <w:r>
        <w:t>7. Customer Cohort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Cohort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Early Trust Cohort</w:t>
            </w:r>
          </w:p>
        </w:tc>
        <w:tc>
          <w:tcPr>
            <w:tcW w:type="dxa" w:w="5112"/>
          </w:tcPr>
          <w:p>
            <w:r>
              <w:t>Validate the core proposition with highly engaged customers.</w:t>
            </w:r>
          </w:p>
        </w:tc>
      </w:tr>
      <w:tr>
        <w:tc>
          <w:tcPr>
            <w:tcW w:type="dxa" w:w="5112"/>
          </w:tcPr>
          <w:p>
            <w:r>
              <w:t>Referral/Network Cohort</w:t>
            </w:r>
          </w:p>
        </w:tc>
        <w:tc>
          <w:tcPr>
            <w:tcW w:type="dxa" w:w="5112"/>
          </w:tcPr>
          <w:p>
            <w:r>
              <w:t>Test trust transfer and warm acquisition.</w:t>
            </w:r>
          </w:p>
        </w:tc>
      </w:tr>
      <w:tr>
        <w:tc>
          <w:tcPr>
            <w:tcW w:type="dxa" w:w="5112"/>
          </w:tcPr>
          <w:p>
            <w:r>
              <w:t>Diaspora Community Cohort</w:t>
            </w:r>
          </w:p>
        </w:tc>
        <w:tc>
          <w:tcPr>
            <w:tcW w:type="dxa" w:w="5112"/>
          </w:tcPr>
          <w:p>
            <w:r>
              <w:t>Test repeatable community-led acquisition.</w:t>
            </w:r>
          </w:p>
        </w:tc>
      </w:tr>
      <w:tr>
        <w:tc>
          <w:tcPr>
            <w:tcW w:type="dxa" w:w="5112"/>
          </w:tcPr>
          <w:p>
            <w:r>
              <w:t>Professional/Partner Cohort</w:t>
            </w:r>
          </w:p>
        </w:tc>
        <w:tc>
          <w:tcPr>
            <w:tcW w:type="dxa" w:w="5112"/>
          </w:tcPr>
          <w:p>
            <w:r>
              <w:t>Test trusted intermediary channels.</w:t>
            </w:r>
          </w:p>
        </w:tc>
      </w:tr>
      <w:tr>
        <w:tc>
          <w:tcPr>
            <w:tcW w:type="dxa" w:w="5112"/>
          </w:tcPr>
          <w:p>
            <w:r>
              <w:t>Broader Pilot Cohort</w:t>
            </w:r>
          </w:p>
        </w:tc>
        <w:tc>
          <w:tcPr>
            <w:tcW w:type="dxa" w:w="5112"/>
          </w:tcPr>
          <w:p>
            <w:r>
              <w:t>Test the operating model under more normal demand.</w:t>
            </w:r>
          </w:p>
        </w:tc>
      </w:tr>
    </w:tbl>
    <w:p>
      <w:r>
        <w:rPr>
          <w:b w:val="0"/>
        </w:rPr>
        <w:t>Exact cohort sizes should be set by the GTM owner based on the approved 100-customer acquisition plan.</w:t>
      </w:r>
    </w:p>
    <w:p>
      <w:pPr>
        <w:pStyle w:val="Heading1"/>
      </w:pPr>
      <w:r>
        <w:t>8. Launch Readiness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Gate</w:t>
            </w:r>
          </w:p>
        </w:tc>
        <w:tc>
          <w:tcPr>
            <w:tcW w:type="dxa" w:w="3408"/>
          </w:tcPr>
          <w:p>
            <w:r>
              <w:t>Evidence Required</w:t>
            </w:r>
          </w:p>
        </w:tc>
        <w:tc>
          <w:tcPr>
            <w:tcW w:type="dxa" w:w="3408"/>
          </w:tcPr>
          <w:p>
            <w:r>
              <w:t>Decision Owner</w:t>
            </w:r>
          </w:p>
        </w:tc>
      </w:tr>
      <w:tr>
        <w:tc>
          <w:tcPr>
            <w:tcW w:type="dxa" w:w="3408"/>
          </w:tcPr>
          <w:p>
            <w:r>
              <w:t>Product</w:t>
            </w:r>
          </w:p>
        </w:tc>
        <w:tc>
          <w:tcPr>
            <w:tcW w:type="dxa" w:w="3408"/>
          </w:tcPr>
          <w:p>
            <w:r>
              <w:t>Golden-path workflow passes UAT.</w:t>
            </w:r>
          </w:p>
        </w:tc>
        <w:tc>
          <w:tcPr>
            <w:tcW w:type="dxa" w:w="3408"/>
          </w:tcPr>
          <w:p>
            <w:r>
              <w:t>Product</w:t>
            </w:r>
          </w:p>
        </w:tc>
      </w:tr>
      <w:tr>
        <w:tc>
          <w:tcPr>
            <w:tcW w:type="dxa" w:w="3408"/>
          </w:tcPr>
          <w:p>
            <w:r>
              <w:t>Technology</w:t>
            </w:r>
          </w:p>
        </w:tc>
        <w:tc>
          <w:tcPr>
            <w:tcW w:type="dxa" w:w="3408"/>
          </w:tcPr>
          <w:p>
            <w:r>
              <w:t>Critical APIs, database, monitoring and recovery ready.</w:t>
            </w:r>
          </w:p>
        </w:tc>
        <w:tc>
          <w:tcPr>
            <w:tcW w:type="dxa" w:w="3408"/>
          </w:tcPr>
          <w:p>
            <w:r>
              <w:t>Technology</w:t>
            </w:r>
          </w:p>
        </w:tc>
      </w:tr>
      <w:tr>
        <w:tc>
          <w:tcPr>
            <w:tcW w:type="dxa" w:w="3408"/>
          </w:tcPr>
          <w:p>
            <w:r>
              <w:t>Security/Trust</w:t>
            </w:r>
          </w:p>
        </w:tc>
        <w:tc>
          <w:tcPr>
            <w:tcW w:type="dxa" w:w="3408"/>
          </w:tcPr>
          <w:p>
            <w:r>
              <w:t>Security launch gates pass.</w:t>
            </w:r>
          </w:p>
        </w:tc>
        <w:tc>
          <w:tcPr>
            <w:tcW w:type="dxa" w:w="3408"/>
          </w:tcPr>
          <w:p>
            <w:r>
              <w:t>Technology/Risk</w:t>
            </w:r>
          </w:p>
        </w:tc>
      </w:tr>
      <w:tr>
        <w:tc>
          <w:tcPr>
            <w:tcW w:type="dxa" w:w="3408"/>
          </w:tcPr>
          <w:p>
            <w:r>
              <w:t>Operations</w:t>
            </w:r>
          </w:p>
        </w:tc>
        <w:tc>
          <w:tcPr>
            <w:tcW w:type="dxa" w:w="3408"/>
          </w:tcPr>
          <w:p>
            <w:r>
              <w:t>Runbook, owners, queues and fallback ready.</w:t>
            </w:r>
          </w:p>
        </w:tc>
        <w:tc>
          <w:tcPr>
            <w:tcW w:type="dxa" w:w="3408"/>
          </w:tcPr>
          <w:p>
            <w:r>
              <w:t>Operations</w:t>
            </w:r>
          </w:p>
        </w:tc>
      </w:tr>
      <w:tr>
        <w:tc>
          <w:tcPr>
            <w:tcW w:type="dxa" w:w="3408"/>
          </w:tcPr>
          <w:p>
            <w:r>
              <w:t>Field</w:t>
            </w:r>
          </w:p>
        </w:tc>
        <w:tc>
          <w:tcPr>
            <w:tcW w:type="dxa" w:w="3408"/>
          </w:tcPr>
          <w:p>
            <w:r>
              <w:t>Eligible representatives and execution process ready.</w:t>
            </w:r>
          </w:p>
        </w:tc>
        <w:tc>
          <w:tcPr>
            <w:tcW w:type="dxa" w:w="3408"/>
          </w:tcPr>
          <w:p>
            <w:r>
              <w:t>Field Ops</w:t>
            </w:r>
          </w:p>
        </w:tc>
      </w:tr>
      <w:tr>
        <w:tc>
          <w:tcPr>
            <w:tcW w:type="dxa" w:w="3408"/>
          </w:tcPr>
          <w:p>
            <w:r>
              <w:t>QC</w:t>
            </w:r>
          </w:p>
        </w:tc>
        <w:tc>
          <w:tcPr>
            <w:tcW w:type="dxa" w:w="3408"/>
          </w:tcPr>
          <w:p>
            <w:r>
              <w:t>QC/rework/report gating proven.</w:t>
            </w:r>
          </w:p>
        </w:tc>
        <w:tc>
          <w:tcPr>
            <w:tcW w:type="dxa" w:w="3408"/>
          </w:tcPr>
          <w:p>
            <w:r>
              <w:t>QC</w:t>
            </w:r>
          </w:p>
        </w:tc>
      </w:tr>
      <w:tr>
        <w:tc>
          <w:tcPr>
            <w:tcW w:type="dxa" w:w="3408"/>
          </w:tcPr>
          <w:p>
            <w:r>
              <w:t>Finance</w:t>
            </w:r>
          </w:p>
        </w:tc>
        <w:tc>
          <w:tcPr>
            <w:tcW w:type="dxa" w:w="3408"/>
          </w:tcPr>
          <w:p>
            <w:r>
              <w:t>Payment/reconciliation/refund process ready.</w:t>
            </w:r>
          </w:p>
        </w:tc>
        <w:tc>
          <w:tcPr>
            <w:tcW w:type="dxa" w:w="3408"/>
          </w:tcPr>
          <w:p>
            <w:r>
              <w:t>Finance</w:t>
            </w:r>
          </w:p>
        </w:tc>
      </w:tr>
      <w:tr>
        <w:tc>
          <w:tcPr>
            <w:tcW w:type="dxa" w:w="3408"/>
          </w:tcPr>
          <w:p>
            <w:r>
              <w:t>CX</w:t>
            </w:r>
          </w:p>
        </w:tc>
        <w:tc>
          <w:tcPr>
            <w:tcW w:type="dxa" w:w="3408"/>
          </w:tcPr>
          <w:p>
            <w:r>
              <w:t>Customer communication/support process ready.</w:t>
            </w:r>
          </w:p>
        </w:tc>
        <w:tc>
          <w:tcPr>
            <w:tcW w:type="dxa" w:w="3408"/>
          </w:tcPr>
          <w:p>
            <w:r>
              <w:t>CX/Operations</w:t>
            </w:r>
          </w:p>
        </w:tc>
      </w:tr>
      <w:tr>
        <w:tc>
          <w:tcPr>
            <w:tcW w:type="dxa" w:w="3408"/>
          </w:tcPr>
          <w:p>
            <w:r>
              <w:t>GTM</w:t>
            </w:r>
          </w:p>
        </w:tc>
        <w:tc>
          <w:tcPr>
            <w:tcW w:type="dxa" w:w="3408"/>
          </w:tcPr>
          <w:p>
            <w:r>
              <w:t>Acquisition funnel and lead handling ready.</w:t>
            </w:r>
          </w:p>
        </w:tc>
        <w:tc>
          <w:tcPr>
            <w:tcW w:type="dxa" w:w="3408"/>
          </w:tcPr>
          <w:p>
            <w:r>
              <w:t>GTM</w:t>
            </w:r>
          </w:p>
        </w:tc>
      </w:tr>
      <w:tr>
        <w:tc>
          <w:tcPr>
            <w:tcW w:type="dxa" w:w="3408"/>
          </w:tcPr>
          <w:p>
            <w:r>
              <w:t>Management</w:t>
            </w:r>
          </w:p>
        </w:tc>
        <w:tc>
          <w:tcPr>
            <w:tcW w:type="dxa" w:w="3408"/>
          </w:tcPr>
          <w:p>
            <w:r>
              <w:t>Risks accepted; command structure active.</w:t>
            </w:r>
          </w:p>
        </w:tc>
        <w:tc>
          <w:tcPr>
            <w:tcW w:type="dxa" w:w="3408"/>
          </w:tcPr>
          <w:p>
            <w:r>
              <w:t>Executive Sponsor</w:t>
            </w:r>
          </w:p>
        </w:tc>
      </w:tr>
    </w:tbl>
    <w:p>
      <w:pPr>
        <w:pStyle w:val="Heading1"/>
      </w:pPr>
      <w:r>
        <w:t>9. Go / Conditional Go / No-Go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Decision</w:t>
            </w:r>
          </w:p>
        </w:tc>
        <w:tc>
          <w:tcPr>
            <w:tcW w:type="dxa" w:w="5112"/>
          </w:tcPr>
          <w:p>
            <w:r>
              <w:t>Criteria</w:t>
            </w:r>
          </w:p>
        </w:tc>
      </w:tr>
      <w:tr>
        <w:tc>
          <w:tcPr>
            <w:tcW w:type="dxa" w:w="5112"/>
          </w:tcPr>
          <w:p>
            <w:r>
              <w:t>GO</w:t>
            </w:r>
          </w:p>
        </w:tc>
        <w:tc>
          <w:tcPr>
            <w:tcW w:type="dxa" w:w="5112"/>
          </w:tcPr>
          <w:p>
            <w:r>
              <w:t>All mandatory gates pass; no P0 blockers; acceptable P1 exposure; accountable owners confirmed.</w:t>
            </w:r>
          </w:p>
        </w:tc>
      </w:tr>
      <w:tr>
        <w:tc>
          <w:tcPr>
            <w:tcW w:type="dxa" w:w="5112"/>
          </w:tcPr>
          <w:p>
            <w:r>
              <w:t>GO WITH CONDITIONS</w:t>
            </w:r>
          </w:p>
        </w:tc>
        <w:tc>
          <w:tcPr>
            <w:tcW w:type="dxa" w:w="5112"/>
          </w:tcPr>
          <w:p>
            <w:r>
              <w:t>Only bounded, documented risks with workaround, owner and deadline.</w:t>
            </w:r>
          </w:p>
        </w:tc>
      </w:tr>
      <w:tr>
        <w:tc>
          <w:tcPr>
            <w:tcW w:type="dxa" w:w="5112"/>
          </w:tcPr>
          <w:p>
            <w:r>
              <w:t>NO-GO</w:t>
            </w:r>
          </w:p>
        </w:tc>
        <w:tc>
          <w:tcPr>
            <w:tcW w:type="dxa" w:w="5112"/>
          </w:tcPr>
          <w:p>
            <w:r>
              <w:t>Core golden path broken; material security/payment/evidence failure; no safe fallback; or operational ownership absent.</w:t>
            </w:r>
          </w:p>
        </w:tc>
      </w:tr>
    </w:tbl>
    <w:p>
      <w:pPr>
        <w:pStyle w:val="Heading1"/>
      </w:pPr>
      <w:r>
        <w:t>10. Executive Launch Checklist</w:t>
      </w:r>
    </w:p>
    <w:p>
      <w:pPr>
        <w:pStyle w:val="ListBullet"/>
      </w:pPr>
      <w:r>
        <w:t>Pilot ICP and customer target approved.</w:t>
      </w:r>
    </w:p>
    <w:p>
      <w:pPr>
        <w:pStyle w:val="ListBullet"/>
      </w:pPr>
      <w:r>
        <w:t>Primary service/use cases approved.</w:t>
      </w:r>
    </w:p>
    <w:p>
      <w:pPr>
        <w:pStyle w:val="ListBullet"/>
      </w:pPr>
      <w:r>
        <w:t>100-customer acquisition plan approved.</w:t>
      </w:r>
    </w:p>
    <w:p>
      <w:pPr>
        <w:pStyle w:val="ListBullet"/>
      </w:pPr>
      <w:r>
        <w:t>Product build meets P0 acceptance criteria.</w:t>
      </w:r>
    </w:p>
    <w:p>
      <w:pPr>
        <w:pStyle w:val="ListBullet"/>
      </w:pPr>
      <w:r>
        <w:t>Security/privacy launch gates pass.</w:t>
      </w:r>
    </w:p>
    <w:p>
      <w:pPr>
        <w:pStyle w:val="ListBullet"/>
      </w:pPr>
      <w:r>
        <w:t>Payment and reconciliation process tested.</w:t>
      </w:r>
    </w:p>
    <w:p>
      <w:pPr>
        <w:pStyle w:val="ListBullet"/>
      </w:pPr>
      <w:r>
        <w:t>Representative network ready.</w:t>
      </w:r>
    </w:p>
    <w:p>
      <w:pPr>
        <w:pStyle w:val="ListBullet"/>
      </w:pPr>
      <w:r>
        <w:t>QC capacity ready.</w:t>
      </w:r>
    </w:p>
    <w:p>
      <w:pPr>
        <w:pStyle w:val="ListBullet"/>
      </w:pPr>
      <w:r>
        <w:t>Customer support path active.</w:t>
      </w:r>
    </w:p>
    <w:p>
      <w:pPr>
        <w:pStyle w:val="ListBullet"/>
      </w:pPr>
      <w:r>
        <w:t>Operations dashboard active.</w:t>
      </w:r>
    </w:p>
    <w:p>
      <w:pPr>
        <w:pStyle w:val="ListBullet"/>
      </w:pPr>
      <w:r>
        <w:t>Incident command structure active.</w:t>
      </w:r>
    </w:p>
    <w:p>
      <w:pPr>
        <w:pStyle w:val="ListBullet"/>
      </w:pPr>
      <w:r>
        <w:t>Manual fallback tested.</w:t>
      </w:r>
    </w:p>
    <w:p>
      <w:pPr>
        <w:pStyle w:val="ListBullet"/>
      </w:pPr>
      <w:r>
        <w:t>Weekly executive review scheduled.</w:t>
      </w:r>
    </w:p>
    <w:p>
      <w:pPr>
        <w:pStyle w:val="ListBullet"/>
      </w:pPr>
      <w:r>
        <w:t>Pilot decision log created.</w:t>
      </w:r>
    </w:p>
    <w:p>
      <w:pPr>
        <w:pStyle w:val="Heading1"/>
      </w:pPr>
      <w:r>
        <w:t>11. First 10 Customers — White-Glove Mode</w:t>
      </w:r>
    </w:p>
    <w:p>
      <w:r>
        <w:rPr>
          <w:b w:val="0"/>
        </w:rPr>
        <w:t>The first ten customers should be treated as controlled learning cases.</w:t>
      </w:r>
    </w:p>
    <w:p>
      <w:pPr>
        <w:pStyle w:val="ListNumber"/>
      </w:pPr>
      <w:r>
        <w:t>Review the request before acceptance.</w:t>
      </w:r>
    </w:p>
    <w:p>
      <w:pPr>
        <w:pStyle w:val="ListNumber"/>
      </w:pPr>
      <w:r>
        <w:t>Confirm scope and customer expectation explicitly.</w:t>
      </w:r>
    </w:p>
    <w:p>
      <w:pPr>
        <w:pStyle w:val="ListNumber"/>
      </w:pPr>
      <w:r>
        <w:t>Assign a named owner.</w:t>
      </w:r>
    </w:p>
    <w:p>
      <w:pPr>
        <w:pStyle w:val="ListNumber"/>
      </w:pPr>
      <w:r>
        <w:t>Monitor the case through each state.</w:t>
      </w:r>
    </w:p>
    <w:p>
      <w:pPr>
        <w:pStyle w:val="ListNumber"/>
      </w:pPr>
      <w:r>
        <w:t>Review evidence closely.</w:t>
      </w:r>
    </w:p>
    <w:p>
      <w:pPr>
        <w:pStyle w:val="ListNumber"/>
      </w:pPr>
      <w:r>
        <w:t>Capture customer feedback immediately after delivery.</w:t>
      </w:r>
    </w:p>
    <w:p>
      <w:pPr>
        <w:pStyle w:val="ListNumber"/>
      </w:pPr>
      <w:r>
        <w:t>Document any friction.</w:t>
      </w:r>
    </w:p>
    <w:p>
      <w:pPr>
        <w:pStyle w:val="ListNumber"/>
      </w:pPr>
      <w:r>
        <w:t>Do not hide manual work; identify it as a learning signal.</w:t>
      </w:r>
    </w:p>
    <w:p>
      <w:pPr>
        <w:pStyle w:val="ListNumber"/>
      </w:pPr>
      <w:r>
        <w:t>Fix obvious systemic defects before increasing volume.</w:t>
      </w:r>
    </w:p>
    <w:p>
      <w:pPr>
        <w:pStyle w:val="Heading1"/>
      </w:pPr>
      <w:r>
        <w:t>12. Customers 11–25 — Repeatability Test</w:t>
      </w:r>
    </w:p>
    <w:p>
      <w:pPr>
        <w:pStyle w:val="ListBullet"/>
      </w:pPr>
      <w:r>
        <w:t>Reduce unnecessary manual intervention.</w:t>
      </w:r>
    </w:p>
    <w:p>
      <w:pPr>
        <w:pStyle w:val="ListBullet"/>
      </w:pPr>
      <w:r>
        <w:t>Confirm the workflow remains understandable to the team.</w:t>
      </w:r>
    </w:p>
    <w:p>
      <w:pPr>
        <w:pStyle w:val="ListBullet"/>
      </w:pPr>
      <w:r>
        <w:t>Track recurring customer questions.</w:t>
      </w:r>
    </w:p>
    <w:p>
      <w:pPr>
        <w:pStyle w:val="ListBullet"/>
      </w:pPr>
      <w:r>
        <w:t>Track recurring field exceptions.</w:t>
      </w:r>
    </w:p>
    <w:p>
      <w:pPr>
        <w:pStyle w:val="ListBullet"/>
      </w:pPr>
      <w:r>
        <w:t>Measure QC/rework patterns.</w:t>
      </w:r>
    </w:p>
    <w:p>
      <w:pPr>
        <w:pStyle w:val="ListBullet"/>
      </w:pPr>
      <w:r>
        <w:t>Validate that the same service can be delivered consistently.</w:t>
      </w:r>
    </w:p>
    <w:p>
      <w:pPr>
        <w:pStyle w:val="ListBullet"/>
      </w:pPr>
      <w:r>
        <w:t>Begin formal cohort/channel comparison.</w:t>
      </w:r>
    </w:p>
    <w:p>
      <w:pPr>
        <w:pStyle w:val="Heading1"/>
      </w:pPr>
      <w:r>
        <w:t>13. Customers 26–50 — Operating System Test</w:t>
      </w:r>
    </w:p>
    <w:p>
      <w:pPr>
        <w:pStyle w:val="ListBullet"/>
      </w:pPr>
      <w:r>
        <w:t>Increase controlled throughput.</w:t>
      </w:r>
    </w:p>
    <w:p>
      <w:pPr>
        <w:pStyle w:val="ListBullet"/>
      </w:pPr>
      <w:r>
        <w:t>Stress assignment and scheduling.</w:t>
      </w:r>
    </w:p>
    <w:p>
      <w:pPr>
        <w:pStyle w:val="ListBullet"/>
      </w:pPr>
      <w:r>
        <w:t>Stress evidence/QC capacity.</w:t>
      </w:r>
    </w:p>
    <w:p>
      <w:pPr>
        <w:pStyle w:val="ListBullet"/>
      </w:pPr>
      <w:r>
        <w:t>Review payment/reconciliation volume.</w:t>
      </w:r>
    </w:p>
    <w:p>
      <w:pPr>
        <w:pStyle w:val="ListBullet"/>
      </w:pPr>
      <w:r>
        <w:t>Validate support response.</w:t>
      </w:r>
    </w:p>
    <w:p>
      <w:pPr>
        <w:pStyle w:val="ListBullet"/>
      </w:pPr>
      <w:r>
        <w:t>Measure SLA performance.</w:t>
      </w:r>
    </w:p>
    <w:p>
      <w:pPr>
        <w:pStyle w:val="ListBullet"/>
      </w:pPr>
      <w:r>
        <w:t>Identify bottlenecks that will prevent 100+ customer operation.</w:t>
      </w:r>
    </w:p>
    <w:p>
      <w:pPr>
        <w:pStyle w:val="Heading1"/>
      </w:pPr>
      <w:r>
        <w:t>14. Customers 51–100 — Controlled Scale Test</w:t>
      </w:r>
    </w:p>
    <w:p>
      <w:pPr>
        <w:pStyle w:val="ListBullet"/>
      </w:pPr>
      <w:r>
        <w:t>Operate with standard runbooks rather than founder-dependent intervention.</w:t>
      </w:r>
    </w:p>
    <w:p>
      <w:pPr>
        <w:pStyle w:val="ListBullet"/>
      </w:pPr>
      <w:r>
        <w:t>Monitor queue health daily.</w:t>
      </w:r>
    </w:p>
    <w:p>
      <w:pPr>
        <w:pStyle w:val="ListBullet"/>
      </w:pPr>
      <w:r>
        <w:t>Test cross-functional handoffs.</w:t>
      </w:r>
    </w:p>
    <w:p>
      <w:pPr>
        <w:pStyle w:val="ListBullet"/>
      </w:pPr>
      <w:r>
        <w:t>Track customer trust and satisfaction.</w:t>
      </w:r>
    </w:p>
    <w:p>
      <w:pPr>
        <w:pStyle w:val="ListBullet"/>
      </w:pPr>
      <w:r>
        <w:t>Identify service types that should be expanded, restricted or redesigned.</w:t>
      </w:r>
    </w:p>
    <w:p>
      <w:pPr>
        <w:pStyle w:val="ListBullet"/>
      </w:pPr>
      <w:r>
        <w:t>Measure economics and operational capacity.</w:t>
      </w:r>
    </w:p>
    <w:p>
      <w:pPr>
        <w:pStyle w:val="ListBullet"/>
      </w:pPr>
      <w:r>
        <w:t>Prepare scale/no-scale recommendation.</w:t>
      </w:r>
    </w:p>
    <w:p>
      <w:pPr>
        <w:pStyle w:val="Heading1"/>
      </w:pPr>
      <w:r>
        <w:t>15. Weekly Executive Review Agenda</w:t>
      </w:r>
    </w:p>
    <w:p>
      <w:pPr>
        <w:pStyle w:val="ListNumber"/>
      </w:pPr>
      <w:r>
        <w:t>Pilot scorecard.</w:t>
      </w:r>
    </w:p>
    <w:p>
      <w:pPr>
        <w:pStyle w:val="ListNumber"/>
      </w:pPr>
      <w:r>
        <w:t>Customer funnel.</w:t>
      </w:r>
    </w:p>
    <w:p>
      <w:pPr>
        <w:pStyle w:val="ListNumber"/>
      </w:pPr>
      <w:r>
        <w:t>Active cases and operational health.</w:t>
      </w:r>
    </w:p>
    <w:p>
      <w:pPr>
        <w:pStyle w:val="ListNumber"/>
      </w:pPr>
      <w:r>
        <w:t>Quality/QC.</w:t>
      </w:r>
    </w:p>
    <w:p>
      <w:pPr>
        <w:pStyle w:val="ListNumber"/>
      </w:pPr>
      <w:r>
        <w:t>Customer trust and complaints.</w:t>
      </w:r>
    </w:p>
    <w:p>
      <w:pPr>
        <w:pStyle w:val="ListNumber"/>
      </w:pPr>
      <w:r>
        <w:t>Commercial/payment health.</w:t>
      </w:r>
    </w:p>
    <w:p>
      <w:pPr>
        <w:pStyle w:val="ListNumber"/>
      </w:pPr>
      <w:r>
        <w:t>Technology/security incidents.</w:t>
      </w:r>
    </w:p>
    <w:p>
      <w:pPr>
        <w:pStyle w:val="ListNumber"/>
      </w:pPr>
      <w:r>
        <w:t>Field performance.</w:t>
      </w:r>
    </w:p>
    <w:p>
      <w:pPr>
        <w:pStyle w:val="ListNumber"/>
      </w:pPr>
      <w:r>
        <w:t>Top five risks.</w:t>
      </w:r>
    </w:p>
    <w:p>
      <w:pPr>
        <w:pStyle w:val="ListNumber"/>
      </w:pPr>
      <w:r>
        <w:t>Decisions required.</w:t>
      </w:r>
    </w:p>
    <w:p>
      <w:pPr>
        <w:pStyle w:val="ListNumber"/>
      </w:pPr>
      <w:r>
        <w:t>Learning converted into actions.</w:t>
      </w:r>
    </w:p>
    <w:p>
      <w:pPr>
        <w:pStyle w:val="ListNumber"/>
      </w:pPr>
      <w:r>
        <w:t>Next-week priorities.</w:t>
      </w:r>
    </w:p>
    <w:p>
      <w:pPr>
        <w:pStyle w:val="Heading1"/>
      </w:pPr>
      <w:r>
        <w:t>16. Weekly Executive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Metric</w:t>
            </w:r>
          </w:p>
        </w:tc>
        <w:tc>
          <w:tcPr>
            <w:tcW w:type="dxa" w:w="1704"/>
          </w:tcPr>
          <w:p>
            <w:r>
              <w:t>Target/Threshold</w:t>
            </w:r>
          </w:p>
        </w:tc>
        <w:tc>
          <w:tcPr>
            <w:tcW w:type="dxa" w:w="1704"/>
          </w:tcPr>
          <w:p>
            <w:r>
              <w:t>Actual</w:t>
            </w:r>
          </w:p>
        </w:tc>
        <w:tc>
          <w:tcPr>
            <w:tcW w:type="dxa" w:w="1704"/>
          </w:tcPr>
          <w:p>
            <w:r>
              <w:t>Status</w:t>
            </w:r>
          </w:p>
        </w:tc>
        <w:tc>
          <w:tcPr>
            <w:tcW w:type="dxa" w:w="1704"/>
          </w:tcPr>
          <w:p>
            <w:r>
              <w:t>Owner</w:t>
            </w:r>
          </w:p>
        </w:tc>
        <w:tc>
          <w:tcPr>
            <w:tcW w:type="dxa" w:w="1704"/>
          </w:tcPr>
          <w:p>
            <w:r>
              <w:t>Action</w:t>
            </w:r>
          </w:p>
        </w:tc>
      </w:tr>
      <w:tr>
        <w:tc>
          <w:tcPr>
            <w:tcW w:type="dxa" w:w="1704"/>
          </w:tcPr>
          <w:p>
            <w:r>
              <w:t>Qualified leads</w:t>
            </w:r>
          </w:p>
        </w:tc>
        <w:tc>
          <w:tcPr>
            <w:tcW w:type="dxa" w:w="1704"/>
          </w:tcPr>
          <w:p>
            <w:r>
              <w:t>Set by GTM plan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Cases created</w:t>
            </w:r>
          </w:p>
        </w:tc>
        <w:tc>
          <w:tcPr>
            <w:tcW w:type="dxa" w:w="1704"/>
          </w:tcPr>
          <w:p>
            <w:r>
              <w:t>Set by pilot cohort plan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Paid/active cases</w:t>
            </w:r>
          </w:p>
        </w:tc>
        <w:tc>
          <w:tcPr>
            <w:tcW w:type="dxa" w:w="1704"/>
          </w:tcPr>
          <w:p>
            <w:r>
              <w:t>Set by commercial plan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Completed cases</w:t>
            </w:r>
          </w:p>
        </w:tc>
        <w:tc>
          <w:tcPr>
            <w:tcW w:type="dxa" w:w="1704"/>
          </w:tcPr>
          <w:p>
            <w:r>
              <w:t>Set by operating capacity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QC first-pass</w:t>
            </w:r>
          </w:p>
        </w:tc>
        <w:tc>
          <w:tcPr>
            <w:tcW w:type="dxa" w:w="1704"/>
          </w:tcPr>
          <w:p>
            <w:r>
              <w:t>Set quality threshold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Rework rate</w:t>
            </w:r>
          </w:p>
        </w:tc>
        <w:tc>
          <w:tcPr>
            <w:tcW w:type="dxa" w:w="1704"/>
          </w:tcPr>
          <w:p>
            <w:r>
              <w:t>Set quality threshold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SLA adherence</w:t>
            </w:r>
          </w:p>
        </w:tc>
        <w:tc>
          <w:tcPr>
            <w:tcW w:type="dxa" w:w="1704"/>
          </w:tcPr>
          <w:p>
            <w:r>
              <w:t>Set operating threshold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Customer satisfaction</w:t>
            </w:r>
          </w:p>
        </w:tc>
        <w:tc>
          <w:tcPr>
            <w:tcW w:type="dxa" w:w="1704"/>
          </w:tcPr>
          <w:p>
            <w:r>
              <w:t>Set CX threshold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Payment reconciliation</w:t>
            </w:r>
          </w:p>
        </w:tc>
        <w:tc>
          <w:tcPr>
            <w:tcW w:type="dxa" w:w="1704"/>
          </w:tcPr>
          <w:p>
            <w:r>
              <w:t>Target near-complete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P0/P1 incidents</w:t>
            </w:r>
          </w:p>
        </w:tc>
        <w:tc>
          <w:tcPr>
            <w:tcW w:type="dxa" w:w="1704"/>
          </w:tcPr>
          <w:p>
            <w:r>
              <w:t>Zero/controlled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Referral/repeat intent</w:t>
            </w:r>
          </w:p>
        </w:tc>
        <w:tc>
          <w:tcPr>
            <w:tcW w:type="dxa" w:w="1704"/>
          </w:tcPr>
          <w:p>
            <w:r>
              <w:t>Track trend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</w:tbl>
    <w:p>
      <w:pPr>
        <w:pStyle w:val="Heading1"/>
      </w:pPr>
      <w:r>
        <w:t>17.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Risk</w:t>
            </w:r>
          </w:p>
        </w:tc>
        <w:tc>
          <w:tcPr>
            <w:tcW w:type="dxa" w:w="1704"/>
          </w:tcPr>
          <w:p>
            <w:r>
              <w:t>Likelihood</w:t>
            </w:r>
          </w:p>
        </w:tc>
        <w:tc>
          <w:tcPr>
            <w:tcW w:type="dxa" w:w="1704"/>
          </w:tcPr>
          <w:p>
            <w:r>
              <w:t>Impact</w:t>
            </w:r>
          </w:p>
        </w:tc>
        <w:tc>
          <w:tcPr>
            <w:tcW w:type="dxa" w:w="1704"/>
          </w:tcPr>
          <w:p>
            <w:r>
              <w:t>Mitigation</w:t>
            </w:r>
          </w:p>
        </w:tc>
        <w:tc>
          <w:tcPr>
            <w:tcW w:type="dxa" w:w="1704"/>
          </w:tcPr>
          <w:p>
            <w:r>
              <w:t>Owner</w:t>
            </w:r>
          </w:p>
        </w:tc>
        <w:tc>
          <w:tcPr>
            <w:tcW w:type="dxa" w:w="1704"/>
          </w:tcPr>
          <w:p>
            <w:r>
              <w:t>Trigger</w:t>
            </w:r>
          </w:p>
        </w:tc>
      </w:tr>
      <w:tr>
        <w:tc>
          <w:tcPr>
            <w:tcW w:type="dxa" w:w="1704"/>
          </w:tcPr>
          <w:p>
            <w:r>
              <w:t>Demand exceeds operations</w:t>
            </w:r>
          </w:p>
        </w:tc>
        <w:tc>
          <w:tcPr>
            <w:tcW w:type="dxa" w:w="1704"/>
          </w:tcPr>
          <w:p>
            <w:r>
              <w:t>Medium</w:t>
            </w:r>
          </w:p>
        </w:tc>
        <w:tc>
          <w:tcPr>
            <w:tcW w:type="dxa" w:w="1704"/>
          </w:tcPr>
          <w:p>
            <w:r>
              <w:t>High</w:t>
            </w:r>
          </w:p>
        </w:tc>
        <w:tc>
          <w:tcPr>
            <w:tcW w:type="dxa" w:w="1704"/>
          </w:tcPr>
          <w:p>
            <w:r>
              <w:t>Cap intake and increase capacity deliberately.</w:t>
            </w:r>
          </w:p>
        </w:tc>
        <w:tc>
          <w:tcPr>
            <w:tcW w:type="dxa" w:w="1704"/>
          </w:tcPr>
          <w:p>
            <w:r>
              <w:t>Operations</w:t>
            </w:r>
          </w:p>
        </w:tc>
        <w:tc>
          <w:tcPr>
            <w:tcW w:type="dxa" w:w="1704"/>
          </w:tcPr>
          <w:p>
            <w:r>
              <w:t>Queue/SLA threshold.</w:t>
            </w:r>
          </w:p>
        </w:tc>
      </w:tr>
      <w:tr>
        <w:tc>
          <w:tcPr>
            <w:tcW w:type="dxa" w:w="1704"/>
          </w:tcPr>
          <w:p>
            <w:r>
              <w:t>Insufficient qualified representatives</w:t>
            </w:r>
          </w:p>
        </w:tc>
        <w:tc>
          <w:tcPr>
            <w:tcW w:type="dxa" w:w="1704"/>
          </w:tcPr>
          <w:p>
            <w:r>
              <w:t>Medium</w:t>
            </w:r>
          </w:p>
        </w:tc>
        <w:tc>
          <w:tcPr>
            <w:tcW w:type="dxa" w:w="1704"/>
          </w:tcPr>
          <w:p>
            <w:r>
              <w:t>High</w:t>
            </w:r>
          </w:p>
        </w:tc>
        <w:tc>
          <w:tcPr>
            <w:tcW w:type="dxa" w:w="1704"/>
          </w:tcPr>
          <w:p>
            <w:r>
              <w:t>Maintain eligibility bench and partner pipeline.</w:t>
            </w:r>
          </w:p>
        </w:tc>
        <w:tc>
          <w:tcPr>
            <w:tcW w:type="dxa" w:w="1704"/>
          </w:tcPr>
          <w:p>
            <w:r>
              <w:t>Field Ops</w:t>
            </w:r>
          </w:p>
        </w:tc>
        <w:tc>
          <w:tcPr>
            <w:tcW w:type="dxa" w:w="1704"/>
          </w:tcPr>
          <w:p>
            <w:r>
              <w:t>Assignment delay.</w:t>
            </w:r>
          </w:p>
        </w:tc>
      </w:tr>
      <w:tr>
        <w:tc>
          <w:tcPr>
            <w:tcW w:type="dxa" w:w="1704"/>
          </w:tcPr>
          <w:p>
            <w:r>
              <w:t>Evidence quality inconsistent</w:t>
            </w:r>
          </w:p>
        </w:tc>
        <w:tc>
          <w:tcPr>
            <w:tcW w:type="dxa" w:w="1704"/>
          </w:tcPr>
          <w:p>
            <w:r>
              <w:t>Medium</w:t>
            </w:r>
          </w:p>
        </w:tc>
        <w:tc>
          <w:tcPr>
            <w:tcW w:type="dxa" w:w="1704"/>
          </w:tcPr>
          <w:p>
            <w:r>
              <w:t>High</w:t>
            </w:r>
          </w:p>
        </w:tc>
        <w:tc>
          <w:tcPr>
            <w:tcW w:type="dxa" w:w="1704"/>
          </w:tcPr>
          <w:p>
            <w:r>
              <w:t>Strengthen requirements/training/QC.</w:t>
            </w:r>
          </w:p>
        </w:tc>
        <w:tc>
          <w:tcPr>
            <w:tcW w:type="dxa" w:w="1704"/>
          </w:tcPr>
          <w:p>
            <w:r>
              <w:t>QC</w:t>
            </w:r>
          </w:p>
        </w:tc>
        <w:tc>
          <w:tcPr>
            <w:tcW w:type="dxa" w:w="1704"/>
          </w:tcPr>
          <w:p>
            <w:r>
              <w:t>Rework trend.</w:t>
            </w:r>
          </w:p>
        </w:tc>
      </w:tr>
      <w:tr>
        <w:tc>
          <w:tcPr>
            <w:tcW w:type="dxa" w:w="1704"/>
          </w:tcPr>
          <w:p>
            <w:r>
              <w:t>Payment/reconciliation issue</w:t>
            </w:r>
          </w:p>
        </w:tc>
        <w:tc>
          <w:tcPr>
            <w:tcW w:type="dxa" w:w="1704"/>
          </w:tcPr>
          <w:p>
            <w:r>
              <w:t>Low/Medium</w:t>
            </w:r>
          </w:p>
        </w:tc>
        <w:tc>
          <w:tcPr>
            <w:tcW w:type="dxa" w:w="1704"/>
          </w:tcPr>
          <w:p>
            <w:r>
              <w:t>High</w:t>
            </w:r>
          </w:p>
        </w:tc>
        <w:tc>
          <w:tcPr>
            <w:tcW w:type="dxa" w:w="1704"/>
          </w:tcPr>
          <w:p>
            <w:r>
              <w:t>Provider testing + Finance reconciliation.</w:t>
            </w:r>
          </w:p>
        </w:tc>
        <w:tc>
          <w:tcPr>
            <w:tcW w:type="dxa" w:w="1704"/>
          </w:tcPr>
          <w:p>
            <w:r>
              <w:t>Finance</w:t>
            </w:r>
          </w:p>
        </w:tc>
        <w:tc>
          <w:tcPr>
            <w:tcW w:type="dxa" w:w="1704"/>
          </w:tcPr>
          <w:p>
            <w:r>
              <w:t>Payment exception.</w:t>
            </w:r>
          </w:p>
        </w:tc>
      </w:tr>
      <w:tr>
        <w:tc>
          <w:tcPr>
            <w:tcW w:type="dxa" w:w="1704"/>
          </w:tcPr>
          <w:p>
            <w:r>
              <w:t>Customer expectation mismatch</w:t>
            </w:r>
          </w:p>
        </w:tc>
        <w:tc>
          <w:tcPr>
            <w:tcW w:type="dxa" w:w="1704"/>
          </w:tcPr>
          <w:p>
            <w:r>
              <w:t>Medium</w:t>
            </w:r>
          </w:p>
        </w:tc>
        <w:tc>
          <w:tcPr>
            <w:tcW w:type="dxa" w:w="1704"/>
          </w:tcPr>
          <w:p>
            <w:r>
              <w:t>High</w:t>
            </w:r>
          </w:p>
        </w:tc>
        <w:tc>
          <w:tcPr>
            <w:tcW w:type="dxa" w:w="1704"/>
          </w:tcPr>
          <w:p>
            <w:r>
              <w:t>Stronger scoping and communication.</w:t>
            </w:r>
          </w:p>
        </w:tc>
        <w:tc>
          <w:tcPr>
            <w:tcW w:type="dxa" w:w="1704"/>
          </w:tcPr>
          <w:p>
            <w:r>
              <w:t>CX/Ops</w:t>
            </w:r>
          </w:p>
        </w:tc>
        <w:tc>
          <w:tcPr>
            <w:tcW w:type="dxa" w:w="1704"/>
          </w:tcPr>
          <w:p>
            <w:r>
              <w:t>Complaint/rework.</w:t>
            </w:r>
          </w:p>
        </w:tc>
      </w:tr>
      <w:tr>
        <w:tc>
          <w:tcPr>
            <w:tcW w:type="dxa" w:w="1704"/>
          </w:tcPr>
          <w:p>
            <w:r>
              <w:t>Security/privacy incident</w:t>
            </w:r>
          </w:p>
        </w:tc>
        <w:tc>
          <w:tcPr>
            <w:tcW w:type="dxa" w:w="1704"/>
          </w:tcPr>
          <w:p>
            <w:r>
              <w:t>Low</w:t>
            </w:r>
          </w:p>
        </w:tc>
        <w:tc>
          <w:tcPr>
            <w:tcW w:type="dxa" w:w="1704"/>
          </w:tcPr>
          <w:p>
            <w:r>
              <w:t>Critical</w:t>
            </w:r>
          </w:p>
        </w:tc>
        <w:tc>
          <w:tcPr>
            <w:tcW w:type="dxa" w:w="1704"/>
          </w:tcPr>
          <w:p>
            <w:r>
              <w:t>Access controls, monitoring, incident runbook.</w:t>
            </w:r>
          </w:p>
        </w:tc>
        <w:tc>
          <w:tcPr>
            <w:tcW w:type="dxa" w:w="1704"/>
          </w:tcPr>
          <w:p>
            <w:r>
              <w:t>Technology/Risk</w:t>
            </w:r>
          </w:p>
        </w:tc>
        <w:tc>
          <w:tcPr>
            <w:tcW w:type="dxa" w:w="1704"/>
          </w:tcPr>
          <w:p>
            <w:r>
              <w:t>Security alert.</w:t>
            </w:r>
          </w:p>
        </w:tc>
      </w:tr>
      <w:tr>
        <w:tc>
          <w:tcPr>
            <w:tcW w:type="dxa" w:w="1704"/>
          </w:tcPr>
          <w:p>
            <w:r>
              <w:t>AI output error</w:t>
            </w:r>
          </w:p>
        </w:tc>
        <w:tc>
          <w:tcPr>
            <w:tcW w:type="dxa" w:w="1704"/>
          </w:tcPr>
          <w:p>
            <w:r>
              <w:t>Medium</w:t>
            </w:r>
          </w:p>
        </w:tc>
        <w:tc>
          <w:tcPr>
            <w:tcW w:type="dxa" w:w="1704"/>
          </w:tcPr>
          <w:p>
            <w:r>
              <w:t>Medium/High</w:t>
            </w:r>
          </w:p>
        </w:tc>
        <w:tc>
          <w:tcPr>
            <w:tcW w:type="dxa" w:w="1704"/>
          </w:tcPr>
          <w:p>
            <w:r>
              <w:t>Human review and tool boundaries.</w:t>
            </w:r>
          </w:p>
        </w:tc>
        <w:tc>
          <w:tcPr>
            <w:tcW w:type="dxa" w:w="1704"/>
          </w:tcPr>
          <w:p>
            <w:r>
              <w:t>Product/Technology</w:t>
            </w:r>
          </w:p>
        </w:tc>
        <w:tc>
          <w:tcPr>
            <w:tcW w:type="dxa" w:w="1704"/>
          </w:tcPr>
          <w:p>
            <w:r>
              <w:t>AI evaluation failure.</w:t>
            </w:r>
          </w:p>
        </w:tc>
      </w:tr>
      <w:tr>
        <w:tc>
          <w:tcPr>
            <w:tcW w:type="dxa" w:w="1704"/>
          </w:tcPr>
          <w:p>
            <w:r>
              <w:t>Founder/key-person dependency</w:t>
            </w:r>
          </w:p>
        </w:tc>
        <w:tc>
          <w:tcPr>
            <w:tcW w:type="dxa" w:w="1704"/>
          </w:tcPr>
          <w:p>
            <w:r>
              <w:t>Medium</w:t>
            </w:r>
          </w:p>
        </w:tc>
        <w:tc>
          <w:tcPr>
            <w:tcW w:type="dxa" w:w="1704"/>
          </w:tcPr>
          <w:p>
            <w:r>
              <w:t>High</w:t>
            </w:r>
          </w:p>
        </w:tc>
        <w:tc>
          <w:tcPr>
            <w:tcW w:type="dxa" w:w="1704"/>
          </w:tcPr>
          <w:p>
            <w:r>
              <w:t>Runbook and delegated ownership.</w:t>
            </w:r>
          </w:p>
        </w:tc>
        <w:tc>
          <w:tcPr>
            <w:tcW w:type="dxa" w:w="1704"/>
          </w:tcPr>
          <w:p>
            <w:r>
              <w:t>Management</w:t>
            </w:r>
          </w:p>
        </w:tc>
        <w:tc>
          <w:tcPr>
            <w:tcW w:type="dxa" w:w="1704"/>
          </w:tcPr>
          <w:p>
            <w:r>
              <w:t>Repeated manual intervention.</w:t>
            </w:r>
          </w:p>
        </w:tc>
      </w:tr>
      <w:tr>
        <w:tc>
          <w:tcPr>
            <w:tcW w:type="dxa" w:w="1704"/>
          </w:tcPr>
          <w:p>
            <w:r>
              <w:t>Low repeatability across services</w:t>
            </w:r>
          </w:p>
        </w:tc>
        <w:tc>
          <w:tcPr>
            <w:tcW w:type="dxa" w:w="1704"/>
          </w:tcPr>
          <w:p>
            <w:r>
              <w:t>Medium</w:t>
            </w:r>
          </w:p>
        </w:tc>
        <w:tc>
          <w:tcPr>
            <w:tcW w:type="dxa" w:w="1704"/>
          </w:tcPr>
          <w:p>
            <w:r>
              <w:t>High</w:t>
            </w:r>
          </w:p>
        </w:tc>
        <w:tc>
          <w:tcPr>
            <w:tcW w:type="dxa" w:w="1704"/>
          </w:tcPr>
          <w:p>
            <w:r>
              <w:t>Narrow service mix and standardize.</w:t>
            </w:r>
          </w:p>
        </w:tc>
        <w:tc>
          <w:tcPr>
            <w:tcW w:type="dxa" w:w="1704"/>
          </w:tcPr>
          <w:p>
            <w:r>
              <w:t>Product/Ops</w:t>
            </w:r>
          </w:p>
        </w:tc>
        <w:tc>
          <w:tcPr>
            <w:tcW w:type="dxa" w:w="1704"/>
          </w:tcPr>
          <w:p>
            <w:r>
              <w:t>High variance.</w:t>
            </w:r>
          </w:p>
        </w:tc>
      </w:tr>
      <w:tr>
        <w:tc>
          <w:tcPr>
            <w:tcW w:type="dxa" w:w="1704"/>
          </w:tcPr>
          <w:p>
            <w:r>
              <w:t>Pilot learning not converted</w:t>
            </w:r>
          </w:p>
        </w:tc>
        <w:tc>
          <w:tcPr>
            <w:tcW w:type="dxa" w:w="1704"/>
          </w:tcPr>
          <w:p>
            <w:r>
              <w:t>Medium</w:t>
            </w:r>
          </w:p>
        </w:tc>
        <w:tc>
          <w:tcPr>
            <w:tcW w:type="dxa" w:w="1704"/>
          </w:tcPr>
          <w:p>
            <w:r>
              <w:t>Medium</w:t>
            </w:r>
          </w:p>
        </w:tc>
        <w:tc>
          <w:tcPr>
            <w:tcW w:type="dxa" w:w="1704"/>
          </w:tcPr>
          <w:p>
            <w:r>
              <w:t>Weekly decision log and backlog review.</w:t>
            </w:r>
          </w:p>
        </w:tc>
        <w:tc>
          <w:tcPr>
            <w:tcW w:type="dxa" w:w="1704"/>
          </w:tcPr>
          <w:p>
            <w:r>
              <w:t>Product</w:t>
            </w:r>
          </w:p>
        </w:tc>
        <w:tc>
          <w:tcPr>
            <w:tcW w:type="dxa" w:w="1704"/>
          </w:tcPr>
          <w:p>
            <w:r>
              <w:t>Repeated issue.</w:t>
            </w:r>
          </w:p>
        </w:tc>
      </w:tr>
    </w:tbl>
    <w:p>
      <w:pPr>
        <w:pStyle w:val="Heading1"/>
      </w:pPr>
      <w:r>
        <w:t>18. Decision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t>Decision ID</w:t>
            </w:r>
          </w:p>
        </w:tc>
        <w:tc>
          <w:tcPr>
            <w:tcW w:type="dxa" w:w="1461"/>
          </w:tcPr>
          <w:p>
            <w:r>
              <w:t>Date</w:t>
            </w:r>
          </w:p>
        </w:tc>
        <w:tc>
          <w:tcPr>
            <w:tcW w:type="dxa" w:w="1461"/>
          </w:tcPr>
          <w:p>
            <w:r>
              <w:t>Decision</w:t>
            </w:r>
          </w:p>
        </w:tc>
        <w:tc>
          <w:tcPr>
            <w:tcW w:type="dxa" w:w="1461"/>
          </w:tcPr>
          <w:p>
            <w:r>
              <w:t>Evidence</w:t>
            </w:r>
          </w:p>
        </w:tc>
        <w:tc>
          <w:tcPr>
            <w:tcW w:type="dxa" w:w="1461"/>
          </w:tcPr>
          <w:p>
            <w:r>
              <w:t>Owner</w:t>
            </w:r>
          </w:p>
        </w:tc>
        <w:tc>
          <w:tcPr>
            <w:tcW w:type="dxa" w:w="1461"/>
          </w:tcPr>
          <w:p>
            <w:r>
              <w:t>Follow-up Date</w:t>
            </w:r>
          </w:p>
        </w:tc>
        <w:tc>
          <w:tcPr>
            <w:tcW w:type="dxa" w:w="1461"/>
          </w:tcPr>
          <w:p>
            <w:r>
              <w:t>Status</w:t>
            </w:r>
          </w:p>
        </w:tc>
      </w:tr>
      <w:tr>
        <w:tc>
          <w:tcPr>
            <w:tcW w:type="dxa" w:w="1461"/>
          </w:tcPr>
          <w:p>
            <w:r>
              <w:t>DEC-001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DEC-002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DEC-003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DEC-004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DEC-005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</w:tbl>
    <w:p>
      <w:pPr>
        <w:pStyle w:val="Heading1"/>
      </w:pPr>
      <w:r>
        <w:t>19. P0/P1 Escalation Rules</w:t>
      </w:r>
    </w:p>
    <w:p>
      <w:pPr>
        <w:pStyle w:val="ListBullet"/>
      </w:pPr>
      <w:r>
        <w:t>P0 security, payment, authorization, evidence exposure or major customer-harm issue: immediate incident command.</w:t>
      </w:r>
    </w:p>
    <w:p>
      <w:pPr>
        <w:pStyle w:val="ListBullet"/>
      </w:pPr>
      <w:r>
        <w:t>P1 core workflow failure: accountable owner within the operating day and executive visibility.</w:t>
      </w:r>
    </w:p>
    <w:p>
      <w:pPr>
        <w:pStyle w:val="ListBullet"/>
      </w:pPr>
      <w:r>
        <w:t>Repeated P2 issue across multiple customers: promote to P1/product decision review.</w:t>
      </w:r>
    </w:p>
    <w:p>
      <w:pPr>
        <w:pStyle w:val="ListBullet"/>
      </w:pPr>
      <w:r>
        <w:t>Any issue affecting trust in a repeatable way should be reviewed even if technically low severity.</w:t>
      </w:r>
    </w:p>
    <w:p>
      <w:pPr>
        <w:pStyle w:val="Heading1"/>
      </w:pPr>
      <w:r>
        <w:t>20. Customer Trust Command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Signal</w:t>
            </w:r>
          </w:p>
        </w:tc>
        <w:tc>
          <w:tcPr>
            <w:tcW w:type="dxa" w:w="5112"/>
          </w:tcPr>
          <w:p>
            <w:r>
              <w:t>Why It Matters</w:t>
            </w:r>
          </w:p>
        </w:tc>
      </w:tr>
      <w:tr>
        <w:tc>
          <w:tcPr>
            <w:tcW w:type="dxa" w:w="5112"/>
          </w:tcPr>
          <w:p>
            <w:r>
              <w:t>Customer understood scope</w:t>
            </w:r>
          </w:p>
        </w:tc>
        <w:tc>
          <w:tcPr>
            <w:tcW w:type="dxa" w:w="5112"/>
          </w:tcPr>
          <w:p>
            <w:r>
              <w:t>Prevents expectation mismatch.</w:t>
            </w:r>
          </w:p>
        </w:tc>
      </w:tr>
      <w:tr>
        <w:tc>
          <w:tcPr>
            <w:tcW w:type="dxa" w:w="5112"/>
          </w:tcPr>
          <w:p>
            <w:r>
              <w:t>Customer knew next step</w:t>
            </w:r>
          </w:p>
        </w:tc>
        <w:tc>
          <w:tcPr>
            <w:tcW w:type="dxa" w:w="5112"/>
          </w:tcPr>
          <w:p>
            <w:r>
              <w:t>Measures operational transparency.</w:t>
            </w:r>
          </w:p>
        </w:tc>
      </w:tr>
      <w:tr>
        <w:tc>
          <w:tcPr>
            <w:tcW w:type="dxa" w:w="5112"/>
          </w:tcPr>
          <w:p>
            <w:r>
              <w:t>Customer received evidence</w:t>
            </w:r>
          </w:p>
        </w:tc>
        <w:tc>
          <w:tcPr>
            <w:tcW w:type="dxa" w:w="5112"/>
          </w:tcPr>
          <w:p>
            <w:r>
              <w:t>Core proof of representation.</w:t>
            </w:r>
          </w:p>
        </w:tc>
      </w:tr>
      <w:tr>
        <w:tc>
          <w:tcPr>
            <w:tcW w:type="dxa" w:w="5112"/>
          </w:tcPr>
          <w:p>
            <w:r>
              <w:t>Customer accepted outcome</w:t>
            </w:r>
          </w:p>
        </w:tc>
        <w:tc>
          <w:tcPr>
            <w:tcW w:type="dxa" w:w="5112"/>
          </w:tcPr>
          <w:p>
            <w:r>
              <w:t>Value realization.</w:t>
            </w:r>
          </w:p>
        </w:tc>
      </w:tr>
      <w:tr>
        <w:tc>
          <w:tcPr>
            <w:tcW w:type="dxa" w:w="5112"/>
          </w:tcPr>
          <w:p>
            <w:r>
              <w:t>Complaint rate</w:t>
            </w:r>
          </w:p>
        </w:tc>
        <w:tc>
          <w:tcPr>
            <w:tcW w:type="dxa" w:w="5112"/>
          </w:tcPr>
          <w:p>
            <w:r>
              <w:t>Trust failure signal.</w:t>
            </w:r>
          </w:p>
        </w:tc>
      </w:tr>
      <w:tr>
        <w:tc>
          <w:tcPr>
            <w:tcW w:type="dxa" w:w="5112"/>
          </w:tcPr>
          <w:p>
            <w:r>
              <w:t>Repeat intent</w:t>
            </w:r>
          </w:p>
        </w:tc>
        <w:tc>
          <w:tcPr>
            <w:tcW w:type="dxa" w:w="5112"/>
          </w:tcPr>
          <w:p>
            <w:r>
              <w:t>Retention signal.</w:t>
            </w:r>
          </w:p>
        </w:tc>
      </w:tr>
      <w:tr>
        <w:tc>
          <w:tcPr>
            <w:tcW w:type="dxa" w:w="5112"/>
          </w:tcPr>
          <w:p>
            <w:r>
              <w:t>Referral intent</w:t>
            </w:r>
          </w:p>
        </w:tc>
        <w:tc>
          <w:tcPr>
            <w:tcW w:type="dxa" w:w="5112"/>
          </w:tcPr>
          <w:p>
            <w:r>
              <w:t>Trust transfer signal.</w:t>
            </w:r>
          </w:p>
        </w:tc>
      </w:tr>
      <w:tr>
        <w:tc>
          <w:tcPr>
            <w:tcW w:type="dxa" w:w="5112"/>
          </w:tcPr>
          <w:p>
            <w:r>
              <w:t>Time to resolution</w:t>
            </w:r>
          </w:p>
        </w:tc>
        <w:tc>
          <w:tcPr>
            <w:tcW w:type="dxa" w:w="5112"/>
          </w:tcPr>
          <w:p>
            <w:r>
              <w:t>Operational confidence.</w:t>
            </w:r>
          </w:p>
        </w:tc>
      </w:tr>
    </w:tbl>
    <w:p>
      <w:pPr>
        <w:pStyle w:val="Heading1"/>
      </w:pPr>
      <w:r>
        <w:t>21. Operational Capacity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Capacity</w:t>
            </w:r>
          </w:p>
        </w:tc>
        <w:tc>
          <w:tcPr>
            <w:tcW w:type="dxa" w:w="5112"/>
          </w:tcPr>
          <w:p>
            <w:r>
              <w:t>Monitor</w:t>
            </w:r>
          </w:p>
        </w:tc>
      </w:tr>
      <w:tr>
        <w:tc>
          <w:tcPr>
            <w:tcW w:type="dxa" w:w="5112"/>
          </w:tcPr>
          <w:p>
            <w:r>
              <w:t>Concierge</w:t>
            </w:r>
          </w:p>
        </w:tc>
        <w:tc>
          <w:tcPr>
            <w:tcW w:type="dxa" w:w="5112"/>
          </w:tcPr>
          <w:p>
            <w:r>
              <w:t>Qualified leads per owner; response time.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Active cases per owner; overdue next actions.</w:t>
            </w:r>
          </w:p>
        </w:tc>
      </w:tr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Available eligible agents; assignments per agent.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Pending reviews; review age.</w:t>
            </w:r>
          </w:p>
        </w:tc>
      </w:tr>
      <w:tr>
        <w:tc>
          <w:tcPr>
            <w:tcW w:type="dxa" w:w="5112"/>
          </w:tcPr>
          <w:p>
            <w:r>
              <w:t>Finance</w:t>
            </w:r>
          </w:p>
        </w:tc>
        <w:tc>
          <w:tcPr>
            <w:tcW w:type="dxa" w:w="5112"/>
          </w:tcPr>
          <w:p>
            <w:r>
              <w:t>Pending reconciliation/payment exceptions.</w:t>
            </w:r>
          </w:p>
        </w:tc>
      </w:tr>
      <w:tr>
        <w:tc>
          <w:tcPr>
            <w:tcW w:type="dxa" w:w="5112"/>
          </w:tcPr>
          <w:p>
            <w:r>
              <w:t>Support</w:t>
            </w:r>
          </w:p>
        </w:tc>
        <w:tc>
          <w:tcPr>
            <w:tcW w:type="dxa" w:w="5112"/>
          </w:tcPr>
          <w:p>
            <w:r>
              <w:t>Open cases by priority.</w:t>
            </w:r>
          </w:p>
        </w:tc>
      </w:tr>
      <w:tr>
        <w:tc>
          <w:tcPr>
            <w:tcW w:type="dxa" w:w="5112"/>
          </w:tcPr>
          <w:p>
            <w:r>
              <w:t>Technology</w:t>
            </w:r>
          </w:p>
        </w:tc>
        <w:tc>
          <w:tcPr>
            <w:tcW w:type="dxa" w:w="5112"/>
          </w:tcPr>
          <w:p>
            <w:r>
              <w:t>Incidents, latency, integration health.</w:t>
            </w:r>
          </w:p>
        </w:tc>
      </w:tr>
    </w:tbl>
    <w:p>
      <w:pPr>
        <w:pStyle w:val="Heading1"/>
      </w:pPr>
      <w:r>
        <w:t>22. GTM-to-Operations Handoff</w:t>
      </w:r>
    </w:p>
    <w:p>
      <w:pPr>
        <w:pStyle w:val="ListNumber"/>
      </w:pPr>
      <w:r>
        <w:t>GTM creates/records lead source.</w:t>
      </w:r>
    </w:p>
    <w:p>
      <w:pPr>
        <w:pStyle w:val="ListNumber"/>
      </w:pPr>
      <w:r>
        <w:t>Concierge validates customer need.</w:t>
      </w:r>
    </w:p>
    <w:p>
      <w:pPr>
        <w:pStyle w:val="ListNumber"/>
      </w:pPr>
      <w:r>
        <w:t>Qualified lead becomes case.</w:t>
      </w:r>
    </w:p>
    <w:p>
      <w:pPr>
        <w:pStyle w:val="ListNumber"/>
      </w:pPr>
      <w:r>
        <w:t>Operations confirms scope readiness.</w:t>
      </w:r>
    </w:p>
    <w:p>
      <w:pPr>
        <w:pStyle w:val="ListNumber"/>
      </w:pPr>
      <w:r>
        <w:t>Commercial path is approved.</w:t>
      </w:r>
    </w:p>
    <w:p>
      <w:pPr>
        <w:pStyle w:val="ListNumber"/>
      </w:pPr>
      <w:r>
        <w:t>Payment state is confirmed.</w:t>
      </w:r>
    </w:p>
    <w:p>
      <w:pPr>
        <w:pStyle w:val="ListNumber"/>
      </w:pPr>
      <w:r>
        <w:t>Operations takes execution ownership.</w:t>
      </w:r>
    </w:p>
    <w:p>
      <w:pPr>
        <w:pStyle w:val="ListNumber"/>
      </w:pPr>
      <w:r>
        <w:t>Customer receives clear next step.</w:t>
      </w:r>
    </w:p>
    <w:p>
      <w:pPr>
        <w:pStyle w:val="ListNumber"/>
      </w:pPr>
      <w:r>
        <w:t>Case is tracked through completion.</w:t>
      </w:r>
    </w:p>
    <w:p>
      <w:pPr>
        <w:pStyle w:val="ListNumber"/>
      </w:pPr>
      <w:r>
        <w:t>Feedback and referral intent return to GTM/CX.</w:t>
      </w:r>
    </w:p>
    <w:p>
      <w:pPr>
        <w:pStyle w:val="Heading1"/>
      </w:pPr>
      <w:r>
        <w:t>23. Product-to-Operations Handoff</w:t>
      </w:r>
    </w:p>
    <w:p>
      <w:pPr>
        <w:pStyle w:val="ListBullet"/>
      </w:pPr>
      <w:r>
        <w:t>Every new workflow change has an owner.</w:t>
      </w:r>
    </w:p>
    <w:p>
      <w:pPr>
        <w:pStyle w:val="ListBullet"/>
      </w:pPr>
      <w:r>
        <w:t>State-machine changes are documented.</w:t>
      </w:r>
    </w:p>
    <w:p>
      <w:pPr>
        <w:pStyle w:val="ListBullet"/>
      </w:pPr>
      <w:r>
        <w:t>API/database changes have QA coverage.</w:t>
      </w:r>
    </w:p>
    <w:p>
      <w:pPr>
        <w:pStyle w:val="ListBullet"/>
      </w:pPr>
      <w:r>
        <w:t>Runbook changes accompany material operational changes.</w:t>
      </w:r>
    </w:p>
    <w:p>
      <w:pPr>
        <w:pStyle w:val="ListBullet"/>
      </w:pPr>
      <w:r>
        <w:t>Customer-facing wording is aligned.</w:t>
      </w:r>
    </w:p>
    <w:p>
      <w:pPr>
        <w:pStyle w:val="ListBullet"/>
      </w:pPr>
      <w:r>
        <w:t>Monitoring is updated where new failure modes exist.</w:t>
      </w:r>
    </w:p>
    <w:p>
      <w:pPr>
        <w:pStyle w:val="ListBullet"/>
      </w:pPr>
      <w:r>
        <w:t>Rollback/fallback is defined before release.</w:t>
      </w:r>
    </w:p>
    <w:p>
      <w:pPr>
        <w:pStyle w:val="Heading1"/>
      </w:pPr>
      <w:r>
        <w:t>24. Pilot Learning Loop</w:t>
      </w:r>
    </w:p>
    <w:p>
      <w:r>
        <w:rPr>
          <w:b/>
        </w:rPr>
        <w:t>LEARN → DECIDE → BUILD/CHANGE → TEST → DEPLOY → MEASURE → LEARN</w:t>
      </w:r>
    </w:p>
    <w:p>
      <w:pPr>
        <w:pStyle w:val="ListNumber"/>
      </w:pPr>
      <w:r>
        <w:t>Capture observed problem.</w:t>
      </w:r>
    </w:p>
    <w:p>
      <w:pPr>
        <w:pStyle w:val="ListNumber"/>
      </w:pPr>
      <w:r>
        <w:t>Separate symptom from root cause.</w:t>
      </w:r>
    </w:p>
    <w:p>
      <w:pPr>
        <w:pStyle w:val="ListNumber"/>
      </w:pPr>
      <w:r>
        <w:t>Estimate customer/operational impact.</w:t>
      </w:r>
    </w:p>
    <w:p>
      <w:pPr>
        <w:pStyle w:val="ListNumber"/>
      </w:pPr>
      <w:r>
        <w:t>Decide whether to fix, standardize, defer or stop.</w:t>
      </w:r>
    </w:p>
    <w:p>
      <w:pPr>
        <w:pStyle w:val="ListNumber"/>
      </w:pPr>
      <w:r>
        <w:t>Assign owner.</w:t>
      </w:r>
    </w:p>
    <w:p>
      <w:pPr>
        <w:pStyle w:val="ListNumber"/>
      </w:pPr>
      <w:r>
        <w:t>Add to backlog/operating plan.</w:t>
      </w:r>
    </w:p>
    <w:p>
      <w:pPr>
        <w:pStyle w:val="ListNumber"/>
      </w:pPr>
      <w:r>
        <w:t>Implement controlled change.</w:t>
      </w:r>
    </w:p>
    <w:p>
      <w:pPr>
        <w:pStyle w:val="ListNumber"/>
      </w:pPr>
      <w:r>
        <w:t>Test.</w:t>
      </w:r>
    </w:p>
    <w:p>
      <w:pPr>
        <w:pStyle w:val="ListNumber"/>
      </w:pPr>
      <w:r>
        <w:t>Measure after release.</w:t>
      </w:r>
    </w:p>
    <w:p>
      <w:pPr>
        <w:pStyle w:val="ListNumber"/>
      </w:pPr>
      <w:r>
        <w:t>Close the loop.</w:t>
      </w:r>
    </w:p>
    <w:p>
      <w:pPr>
        <w:pStyle w:val="Heading1"/>
      </w:pPr>
      <w:r>
        <w:t>25. What the Pilot Must Prove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Hypothesis</w:t>
            </w:r>
          </w:p>
        </w:tc>
        <w:tc>
          <w:tcPr>
            <w:tcW w:type="dxa" w:w="5112"/>
          </w:tcPr>
          <w:p>
            <w:r>
              <w:t>Evidence</w:t>
            </w:r>
          </w:p>
        </w:tc>
      </w:tr>
      <w:tr>
        <w:tc>
          <w:tcPr>
            <w:tcW w:type="dxa" w:w="5112"/>
          </w:tcPr>
          <w:p>
            <w:r>
              <w:t>Customers value trusted representation.</w:t>
            </w:r>
          </w:p>
        </w:tc>
        <w:tc>
          <w:tcPr>
            <w:tcW w:type="dxa" w:w="5112"/>
          </w:tcPr>
          <w:p>
            <w:r>
              <w:t>Conversion, payment and feedback.</w:t>
            </w:r>
          </w:p>
        </w:tc>
      </w:tr>
      <w:tr>
        <w:tc>
          <w:tcPr>
            <w:tcW w:type="dxa" w:w="5112"/>
          </w:tcPr>
          <w:p>
            <w:r>
              <w:t>ASOJU can define work clearly.</w:t>
            </w:r>
          </w:p>
        </w:tc>
        <w:tc>
          <w:tcPr>
            <w:tcW w:type="dxa" w:w="5112"/>
          </w:tcPr>
          <w:p>
            <w:r>
              <w:t>Scope approval and low expectation-related rework.</w:t>
            </w:r>
          </w:p>
        </w:tc>
      </w:tr>
      <w:tr>
        <w:tc>
          <w:tcPr>
            <w:tcW w:type="dxa" w:w="5112"/>
          </w:tcPr>
          <w:p>
            <w:r>
              <w:t>Customers will pay for defined outcomes.</w:t>
            </w:r>
          </w:p>
        </w:tc>
        <w:tc>
          <w:tcPr>
            <w:tcW w:type="dxa" w:w="5112"/>
          </w:tcPr>
          <w:p>
            <w:r>
              <w:t>Payment/quote data.</w:t>
            </w:r>
          </w:p>
        </w:tc>
      </w:tr>
      <w:tr>
        <w:tc>
          <w:tcPr>
            <w:tcW w:type="dxa" w:w="5112"/>
          </w:tcPr>
          <w:p>
            <w:r>
              <w:t>ASOJU can coordinate trusted representatives.</w:t>
            </w:r>
          </w:p>
        </w:tc>
        <w:tc>
          <w:tcPr>
            <w:tcW w:type="dxa" w:w="5112"/>
          </w:tcPr>
          <w:p>
            <w:r>
              <w:t>Assignment acceptance and execution.</w:t>
            </w:r>
          </w:p>
        </w:tc>
      </w:tr>
      <w:tr>
        <w:tc>
          <w:tcPr>
            <w:tcW w:type="dxa" w:w="5112"/>
          </w:tcPr>
          <w:p>
            <w:r>
              <w:t>Evidence increases confidence.</w:t>
            </w:r>
          </w:p>
        </w:tc>
        <w:tc>
          <w:tcPr>
            <w:tcW w:type="dxa" w:w="5112"/>
          </w:tcPr>
          <w:p>
            <w:r>
              <w:t>QC pass and customer feedback.</w:t>
            </w:r>
          </w:p>
        </w:tc>
      </w:tr>
      <w:tr>
        <w:tc>
          <w:tcPr>
            <w:tcW w:type="dxa" w:w="5112"/>
          </w:tcPr>
          <w:p>
            <w:r>
              <w:t>The operating model can scale beyond founder intervention.</w:t>
            </w:r>
          </w:p>
        </w:tc>
        <w:tc>
          <w:tcPr>
            <w:tcW w:type="dxa" w:w="5112"/>
          </w:tcPr>
          <w:p>
            <w:r>
              <w:t>Owner/queue/runbook performance.</w:t>
            </w:r>
          </w:p>
        </w:tc>
      </w:tr>
      <w:tr>
        <w:tc>
          <w:tcPr>
            <w:tcW w:type="dxa" w:w="5112"/>
          </w:tcPr>
          <w:p>
            <w:r>
              <w:t>Customers will return/refer.</w:t>
            </w:r>
          </w:p>
        </w:tc>
        <w:tc>
          <w:tcPr>
            <w:tcW w:type="dxa" w:w="5112"/>
          </w:tcPr>
          <w:p>
            <w:r>
              <w:t>Repeat/referral intent.</w:t>
            </w:r>
          </w:p>
        </w:tc>
      </w:tr>
      <w:tr>
        <w:tc>
          <w:tcPr>
            <w:tcW w:type="dxa" w:w="5112"/>
          </w:tcPr>
          <w:p>
            <w:r>
              <w:t>The chosen service mix is operationally repeatable.</w:t>
            </w:r>
          </w:p>
        </w:tc>
        <w:tc>
          <w:tcPr>
            <w:tcW w:type="dxa" w:w="5112"/>
          </w:tcPr>
          <w:p>
            <w:r>
              <w:t>Cycle time, QC, rework and margin patterns.</w:t>
            </w:r>
          </w:p>
        </w:tc>
      </w:tr>
    </w:tbl>
    <w:p>
      <w:pPr>
        <w:pStyle w:val="Heading1"/>
      </w:pPr>
      <w:r>
        <w:t>26. What the Pilot Must Not Optimize For</w:t>
      </w:r>
    </w:p>
    <w:p>
      <w:pPr>
        <w:pStyle w:val="ListBullet"/>
      </w:pPr>
      <w:r>
        <w:t>Vanity lead volume.</w:t>
      </w:r>
    </w:p>
    <w:p>
      <w:pPr>
        <w:pStyle w:val="ListBullet"/>
      </w:pPr>
      <w:r>
        <w:t>Maximum number of service categories.</w:t>
      </w:r>
    </w:p>
    <w:p>
      <w:pPr>
        <w:pStyle w:val="ListBullet"/>
      </w:pPr>
      <w:r>
        <w:t>Automation for its own sake.</w:t>
      </w:r>
    </w:p>
    <w:p>
      <w:pPr>
        <w:pStyle w:val="ListBullet"/>
      </w:pPr>
      <w:r>
        <w:t>Artificially low pricing that cannot support future economics.</w:t>
      </w:r>
    </w:p>
    <w:p>
      <w:pPr>
        <w:pStyle w:val="ListBullet"/>
      </w:pPr>
      <w:r>
        <w:t>Founder-only heroics.</w:t>
      </w:r>
    </w:p>
    <w:p>
      <w:pPr>
        <w:pStyle w:val="ListBullet"/>
      </w:pPr>
      <w:r>
        <w:t>Fast delivery achieved by bypassing scope/QC/security.</w:t>
      </w:r>
    </w:p>
    <w:p>
      <w:pPr>
        <w:pStyle w:val="ListBullet"/>
      </w:pPr>
      <w:r>
        <w:t>Growth that creates an unmanageable support burden.</w:t>
      </w:r>
    </w:p>
    <w:p>
      <w:pPr>
        <w:pStyle w:val="Heading1"/>
      </w:pPr>
      <w:r>
        <w:t>27. Scale Decision at Customer 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Outcome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Scale</w:t>
            </w:r>
          </w:p>
        </w:tc>
        <w:tc>
          <w:tcPr>
            <w:tcW w:type="dxa" w:w="5112"/>
          </w:tcPr>
          <w:p>
            <w:r>
              <w:t>Core workflow is repeatable, trust is strong, unit economics and capacity are credible.</w:t>
            </w:r>
          </w:p>
        </w:tc>
      </w:tr>
      <w:tr>
        <w:tc>
          <w:tcPr>
            <w:tcW w:type="dxa" w:w="5112"/>
          </w:tcPr>
          <w:p>
            <w:r>
              <w:t>Refine then scale</w:t>
            </w:r>
          </w:p>
        </w:tc>
        <w:tc>
          <w:tcPr>
            <w:tcW w:type="dxa" w:w="5112"/>
          </w:tcPr>
          <w:p>
            <w:r>
              <w:t>Value is proven but specific operational/product bottlenecks remain.</w:t>
            </w:r>
          </w:p>
        </w:tc>
      </w:tr>
      <w:tr>
        <w:tc>
          <w:tcPr>
            <w:tcW w:type="dxa" w:w="5112"/>
          </w:tcPr>
          <w:p>
            <w:r>
              <w:t>Narrow</w:t>
            </w:r>
          </w:p>
        </w:tc>
        <w:tc>
          <w:tcPr>
            <w:tcW w:type="dxa" w:w="5112"/>
          </w:tcPr>
          <w:p>
            <w:r>
              <w:t>Some services/channels work; others should be restricted.</w:t>
            </w:r>
          </w:p>
        </w:tc>
      </w:tr>
      <w:tr>
        <w:tc>
          <w:tcPr>
            <w:tcW w:type="dxa" w:w="5112"/>
          </w:tcPr>
          <w:p>
            <w:r>
              <w:t>Pivot</w:t>
            </w:r>
          </w:p>
        </w:tc>
        <w:tc>
          <w:tcPr>
            <w:tcW w:type="dxa" w:w="5112"/>
          </w:tcPr>
          <w:p>
            <w:r>
              <w:t>Core hypothesis is not sufficiently validated.</w:t>
            </w:r>
          </w:p>
        </w:tc>
      </w:tr>
      <w:tr>
        <w:tc>
          <w:tcPr>
            <w:tcW w:type="dxa" w:w="5112"/>
          </w:tcPr>
          <w:p>
            <w:r>
              <w:t>Pause</w:t>
            </w:r>
          </w:p>
        </w:tc>
        <w:tc>
          <w:tcPr>
            <w:tcW w:type="dxa" w:w="5112"/>
          </w:tcPr>
          <w:p>
            <w:r>
              <w:t>Operational/security/economic risk prevents responsible expansion.</w:t>
            </w:r>
          </w:p>
        </w:tc>
      </w:tr>
    </w:tbl>
    <w:p>
      <w:pPr>
        <w:pStyle w:val="Heading1"/>
      </w:pPr>
      <w:r>
        <w:t>28. Executive Readiness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Dimension</w:t>
            </w:r>
          </w:p>
        </w:tc>
        <w:tc>
          <w:tcPr>
            <w:tcW w:type="dxa" w:w="2556"/>
          </w:tcPr>
          <w:p>
            <w:r>
              <w:t>Green</w:t>
            </w:r>
          </w:p>
        </w:tc>
        <w:tc>
          <w:tcPr>
            <w:tcW w:type="dxa" w:w="2556"/>
          </w:tcPr>
          <w:p>
            <w:r>
              <w:t>Amber</w:t>
            </w:r>
          </w:p>
        </w:tc>
        <w:tc>
          <w:tcPr>
            <w:tcW w:type="dxa" w:w="2556"/>
          </w:tcPr>
          <w:p>
            <w:r>
              <w:t>Red</w:t>
            </w:r>
          </w:p>
        </w:tc>
      </w:tr>
      <w:tr>
        <w:tc>
          <w:tcPr>
            <w:tcW w:type="dxa" w:w="2556"/>
          </w:tcPr>
          <w:p>
            <w:r>
              <w:t>Customer value</w:t>
            </w:r>
          </w:p>
        </w:tc>
        <w:tc>
          <w:tcPr>
            <w:tcW w:type="dxa" w:w="2556"/>
          </w:tcPr>
          <w:p>
            <w:r>
              <w:t>Strong evidence of value.</w:t>
            </w:r>
          </w:p>
        </w:tc>
        <w:tc>
          <w:tcPr>
            <w:tcW w:type="dxa" w:w="2556"/>
          </w:tcPr>
          <w:p>
            <w:r>
              <w:t>Mixed feedback.</w:t>
            </w:r>
          </w:p>
        </w:tc>
        <w:tc>
          <w:tcPr>
            <w:tcW w:type="dxa" w:w="2556"/>
          </w:tcPr>
          <w:p>
            <w:r>
              <w:t>Customers do not perceive meaningful value.</w:t>
            </w:r>
          </w:p>
        </w:tc>
      </w:tr>
      <w:tr>
        <w:tc>
          <w:tcPr>
            <w:tcW w:type="dxa" w:w="2556"/>
          </w:tcPr>
          <w:p>
            <w:r>
              <w:t>GTM</w:t>
            </w:r>
          </w:p>
        </w:tc>
        <w:tc>
          <w:tcPr>
            <w:tcW w:type="dxa" w:w="2556"/>
          </w:tcPr>
          <w:p>
            <w:r>
              <w:t>Predictable qualified pipeline.</w:t>
            </w:r>
          </w:p>
        </w:tc>
        <w:tc>
          <w:tcPr>
            <w:tcW w:type="dxa" w:w="2556"/>
          </w:tcPr>
          <w:p>
            <w:r>
              <w:t>Pipeline uneven.</w:t>
            </w:r>
          </w:p>
        </w:tc>
        <w:tc>
          <w:tcPr>
            <w:tcW w:type="dxa" w:w="2556"/>
          </w:tcPr>
          <w:p>
            <w:r>
              <w:t>No repeatable acquisition signal.</w:t>
            </w:r>
          </w:p>
        </w:tc>
      </w:tr>
      <w:tr>
        <w:tc>
          <w:tcPr>
            <w:tcW w:type="dxa" w:w="2556"/>
          </w:tcPr>
          <w:p>
            <w:r>
              <w:t>Operations</w:t>
            </w:r>
          </w:p>
        </w:tc>
        <w:tc>
          <w:tcPr>
            <w:tcW w:type="dxa" w:w="2556"/>
          </w:tcPr>
          <w:p>
            <w:r>
              <w:t>Cases run reliably.</w:t>
            </w:r>
          </w:p>
        </w:tc>
        <w:tc>
          <w:tcPr>
            <w:tcW w:type="dxa" w:w="2556"/>
          </w:tcPr>
          <w:p>
            <w:r>
              <w:t>Manual bottlenecks.</w:t>
            </w:r>
          </w:p>
        </w:tc>
        <w:tc>
          <w:tcPr>
            <w:tcW w:type="dxa" w:w="2556"/>
          </w:tcPr>
          <w:p>
            <w:r>
              <w:t>Frequent failures.</w:t>
            </w:r>
          </w:p>
        </w:tc>
      </w:tr>
      <w:tr>
        <w:tc>
          <w:tcPr>
            <w:tcW w:type="dxa" w:w="2556"/>
          </w:tcPr>
          <w:p>
            <w:r>
              <w:t>Quality</w:t>
            </w:r>
          </w:p>
        </w:tc>
        <w:tc>
          <w:tcPr>
            <w:tcW w:type="dxa" w:w="2556"/>
          </w:tcPr>
          <w:p>
            <w:r>
              <w:t>High first-pass QC.</w:t>
            </w:r>
          </w:p>
        </w:tc>
        <w:tc>
          <w:tcPr>
            <w:tcW w:type="dxa" w:w="2556"/>
          </w:tcPr>
          <w:p>
            <w:r>
              <w:t>Manageable rework.</w:t>
            </w:r>
          </w:p>
        </w:tc>
        <w:tc>
          <w:tcPr>
            <w:tcW w:type="dxa" w:w="2556"/>
          </w:tcPr>
          <w:p>
            <w:r>
              <w:t>Quality unreliable.</w:t>
            </w:r>
          </w:p>
        </w:tc>
      </w:tr>
      <w:tr>
        <w:tc>
          <w:tcPr>
            <w:tcW w:type="dxa" w:w="2556"/>
          </w:tcPr>
          <w:p>
            <w:r>
              <w:t>Trust</w:t>
            </w:r>
          </w:p>
        </w:tc>
        <w:tc>
          <w:tcPr>
            <w:tcW w:type="dxa" w:w="2556"/>
          </w:tcPr>
          <w:p>
            <w:r>
              <w:t>Low material complaints; strong confidence.</w:t>
            </w:r>
          </w:p>
        </w:tc>
        <w:tc>
          <w:tcPr>
            <w:tcW w:type="dxa" w:w="2556"/>
          </w:tcPr>
          <w:p>
            <w:r>
              <w:t>Some concerns.</w:t>
            </w:r>
          </w:p>
        </w:tc>
        <w:tc>
          <w:tcPr>
            <w:tcW w:type="dxa" w:w="2556"/>
          </w:tcPr>
          <w:p>
            <w:r>
              <w:t>Material trust failures.</w:t>
            </w:r>
          </w:p>
        </w:tc>
      </w:tr>
      <w:tr>
        <w:tc>
          <w:tcPr>
            <w:tcW w:type="dxa" w:w="2556"/>
          </w:tcPr>
          <w:p>
            <w:r>
              <w:t>Commercial</w:t>
            </w:r>
          </w:p>
        </w:tc>
        <w:tc>
          <w:tcPr>
            <w:tcW w:type="dxa" w:w="2556"/>
          </w:tcPr>
          <w:p>
            <w:r>
              <w:t>Payments/economics credible.</w:t>
            </w:r>
          </w:p>
        </w:tc>
        <w:tc>
          <w:tcPr>
            <w:tcW w:type="dxa" w:w="2556"/>
          </w:tcPr>
          <w:p>
            <w:r>
              <w:t>Needs optimization.</w:t>
            </w:r>
          </w:p>
        </w:tc>
        <w:tc>
          <w:tcPr>
            <w:tcW w:type="dxa" w:w="2556"/>
          </w:tcPr>
          <w:p>
            <w:r>
              <w:t>Economics not viable.</w:t>
            </w:r>
          </w:p>
        </w:tc>
      </w:tr>
      <w:tr>
        <w:tc>
          <w:tcPr>
            <w:tcW w:type="dxa" w:w="2556"/>
          </w:tcPr>
          <w:p>
            <w:r>
              <w:t>Technology</w:t>
            </w:r>
          </w:p>
        </w:tc>
        <w:tc>
          <w:tcPr>
            <w:tcW w:type="dxa" w:w="2556"/>
          </w:tcPr>
          <w:p>
            <w:r>
              <w:t>Stable and observable.</w:t>
            </w:r>
          </w:p>
        </w:tc>
        <w:tc>
          <w:tcPr>
            <w:tcW w:type="dxa" w:w="2556"/>
          </w:tcPr>
          <w:p>
            <w:r>
              <w:t>Minor instability.</w:t>
            </w:r>
          </w:p>
        </w:tc>
        <w:tc>
          <w:tcPr>
            <w:tcW w:type="dxa" w:w="2556"/>
          </w:tcPr>
          <w:p>
            <w:r>
              <w:t>Core workflow unreliable.</w:t>
            </w:r>
          </w:p>
        </w:tc>
      </w:tr>
      <w:tr>
        <w:tc>
          <w:tcPr>
            <w:tcW w:type="dxa" w:w="2556"/>
          </w:tcPr>
          <w:p>
            <w:r>
              <w:t>Security</w:t>
            </w:r>
          </w:p>
        </w:tc>
        <w:tc>
          <w:tcPr>
            <w:tcW w:type="dxa" w:w="2556"/>
          </w:tcPr>
          <w:p>
            <w:r>
              <w:t>Launch gates remain green.</w:t>
            </w:r>
          </w:p>
        </w:tc>
        <w:tc>
          <w:tcPr>
            <w:tcW w:type="dxa" w:w="2556"/>
          </w:tcPr>
          <w:p>
            <w:r>
              <w:t>Controlled gaps.</w:t>
            </w:r>
          </w:p>
        </w:tc>
        <w:tc>
          <w:tcPr>
            <w:tcW w:type="dxa" w:w="2556"/>
          </w:tcPr>
          <w:p>
            <w:r>
              <w:t>Any material security failure.</w:t>
            </w:r>
          </w:p>
        </w:tc>
      </w:tr>
      <w:tr>
        <w:tc>
          <w:tcPr>
            <w:tcW w:type="dxa" w:w="2556"/>
          </w:tcPr>
          <w:p>
            <w:r>
              <w:t>Team</w:t>
            </w:r>
          </w:p>
        </w:tc>
        <w:tc>
          <w:tcPr>
            <w:tcW w:type="dxa" w:w="2556"/>
          </w:tcPr>
          <w:p>
            <w:r>
              <w:t>Ownership distributed.</w:t>
            </w:r>
          </w:p>
        </w:tc>
        <w:tc>
          <w:tcPr>
            <w:tcW w:type="dxa" w:w="2556"/>
          </w:tcPr>
          <w:p>
            <w:r>
              <w:t>Some key-person dependency.</w:t>
            </w:r>
          </w:p>
        </w:tc>
        <w:tc>
          <w:tcPr>
            <w:tcW w:type="dxa" w:w="2556"/>
          </w:tcPr>
          <w:p>
            <w:r>
              <w:t>Founder-dependent operation.</w:t>
            </w:r>
          </w:p>
        </w:tc>
      </w:tr>
    </w:tbl>
    <w:p>
      <w:pPr>
        <w:pStyle w:val="Heading1"/>
      </w:pPr>
      <w:r>
        <w:t>29. Executive Command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Role</w:t>
            </w:r>
          </w:p>
        </w:tc>
        <w:tc>
          <w:tcPr>
            <w:tcW w:type="dxa" w:w="5112"/>
          </w:tcPr>
          <w:p>
            <w:r>
              <w:t>Accountability</w:t>
            </w:r>
          </w:p>
        </w:tc>
      </w:tr>
      <w:tr>
        <w:tc>
          <w:tcPr>
            <w:tcW w:type="dxa" w:w="5112"/>
          </w:tcPr>
          <w:p>
            <w:r>
              <w:t>Executive Sponsor</w:t>
            </w:r>
          </w:p>
        </w:tc>
        <w:tc>
          <w:tcPr>
            <w:tcW w:type="dxa" w:w="5112"/>
          </w:tcPr>
          <w:p>
            <w:r>
              <w:t>Go/no-go, major risk and resource decisions.</w:t>
            </w:r>
          </w:p>
        </w:tc>
      </w:tr>
      <w:tr>
        <w:tc>
          <w:tcPr>
            <w:tcW w:type="dxa" w:w="5112"/>
          </w:tcPr>
          <w:p>
            <w:r>
              <w:t>Product Lead</w:t>
            </w:r>
          </w:p>
        </w:tc>
        <w:tc>
          <w:tcPr>
            <w:tcW w:type="dxa" w:w="5112"/>
          </w:tcPr>
          <w:p>
            <w:r>
              <w:t>Product priorities, learning loop and customer value.</w:t>
            </w:r>
          </w:p>
        </w:tc>
      </w:tr>
      <w:tr>
        <w:tc>
          <w:tcPr>
            <w:tcW w:type="dxa" w:w="5112"/>
          </w:tcPr>
          <w:p>
            <w:r>
              <w:t>Technology Lead</w:t>
            </w:r>
          </w:p>
        </w:tc>
        <w:tc>
          <w:tcPr>
            <w:tcW w:type="dxa" w:w="5112"/>
          </w:tcPr>
          <w:p>
            <w:r>
              <w:t>Platform reliability, security and releases.</w:t>
            </w:r>
          </w:p>
        </w:tc>
      </w:tr>
      <w:tr>
        <w:tc>
          <w:tcPr>
            <w:tcW w:type="dxa" w:w="5112"/>
          </w:tcPr>
          <w:p>
            <w:r>
              <w:t>Operations Lead</w:t>
            </w:r>
          </w:p>
        </w:tc>
        <w:tc>
          <w:tcPr>
            <w:tcW w:type="dxa" w:w="5112"/>
          </w:tcPr>
          <w:p>
            <w:r>
              <w:t>Case flow, SLA, assignment and escalation.</w:t>
            </w:r>
          </w:p>
        </w:tc>
      </w:tr>
      <w:tr>
        <w:tc>
          <w:tcPr>
            <w:tcW w:type="dxa" w:w="5112"/>
          </w:tcPr>
          <w:p>
            <w:r>
              <w:t>GTM Lead</w:t>
            </w:r>
          </w:p>
        </w:tc>
        <w:tc>
          <w:tcPr>
            <w:tcW w:type="dxa" w:w="5112"/>
          </w:tcPr>
          <w:p>
            <w:r>
              <w:t>Acquisition, funnel and channel performance.</w:t>
            </w:r>
          </w:p>
        </w:tc>
      </w:tr>
      <w:tr>
        <w:tc>
          <w:tcPr>
            <w:tcW w:type="dxa" w:w="5112"/>
          </w:tcPr>
          <w:p>
            <w:r>
              <w:t>CX/Concierge Lead</w:t>
            </w:r>
          </w:p>
        </w:tc>
        <w:tc>
          <w:tcPr>
            <w:tcW w:type="dxa" w:w="5112"/>
          </w:tcPr>
          <w:p>
            <w:r>
              <w:t>Customer intake, communication and trust.</w:t>
            </w:r>
          </w:p>
        </w:tc>
      </w:tr>
      <w:tr>
        <w:tc>
          <w:tcPr>
            <w:tcW w:type="dxa" w:w="5112"/>
          </w:tcPr>
          <w:p>
            <w:r>
              <w:t>Field Lead</w:t>
            </w:r>
          </w:p>
        </w:tc>
        <w:tc>
          <w:tcPr>
            <w:tcW w:type="dxa" w:w="5112"/>
          </w:tcPr>
          <w:p>
            <w:r>
              <w:t>Representative capacity and performance.</w:t>
            </w:r>
          </w:p>
        </w:tc>
      </w:tr>
      <w:tr>
        <w:tc>
          <w:tcPr>
            <w:tcW w:type="dxa" w:w="5112"/>
          </w:tcPr>
          <w:p>
            <w:r>
              <w:t>QC Lead</w:t>
            </w:r>
          </w:p>
        </w:tc>
        <w:tc>
          <w:tcPr>
            <w:tcW w:type="dxa" w:w="5112"/>
          </w:tcPr>
          <w:p>
            <w:r>
              <w:t>Evidence quality and report readiness.</w:t>
            </w:r>
          </w:p>
        </w:tc>
      </w:tr>
      <w:tr>
        <w:tc>
          <w:tcPr>
            <w:tcW w:type="dxa" w:w="5112"/>
          </w:tcPr>
          <w:p>
            <w:r>
              <w:t>Finance Lead</w:t>
            </w:r>
          </w:p>
        </w:tc>
        <w:tc>
          <w:tcPr>
            <w:tcW w:type="dxa" w:w="5112"/>
          </w:tcPr>
          <w:p>
            <w:r>
              <w:t>Payment/reconciliation/refunds/economics.</w:t>
            </w:r>
          </w:p>
        </w:tc>
      </w:tr>
    </w:tbl>
    <w:p>
      <w:pPr>
        <w:pStyle w:val="Heading1"/>
      </w:pPr>
      <w:r>
        <w:t>30. 30/60/90-Day Pilot Management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Period</w:t>
            </w:r>
          </w:p>
        </w:tc>
        <w:tc>
          <w:tcPr>
            <w:tcW w:type="dxa" w:w="5112"/>
          </w:tcPr>
          <w:p>
            <w:r>
              <w:t>Primary Focus</w:t>
            </w:r>
          </w:p>
        </w:tc>
      </w:tr>
      <w:tr>
        <w:tc>
          <w:tcPr>
            <w:tcW w:type="dxa" w:w="5112"/>
          </w:tcPr>
          <w:p>
            <w:r>
              <w:t>Days 0–30</w:t>
            </w:r>
          </w:p>
        </w:tc>
        <w:tc>
          <w:tcPr>
            <w:tcW w:type="dxa" w:w="5112"/>
          </w:tcPr>
          <w:p>
            <w:r>
              <w:t>Launch safely, validate golden path, learn from first customers.</w:t>
            </w:r>
          </w:p>
        </w:tc>
      </w:tr>
      <w:tr>
        <w:tc>
          <w:tcPr>
            <w:tcW w:type="dxa" w:w="5112"/>
          </w:tcPr>
          <w:p>
            <w:r>
              <w:t>Days 31–60</w:t>
            </w:r>
          </w:p>
        </w:tc>
        <w:tc>
          <w:tcPr>
            <w:tcW w:type="dxa" w:w="5112"/>
          </w:tcPr>
          <w:p>
            <w:r>
              <w:t>Increase controlled volume, remove repeat bottlenecks, validate service/channel patterns.</w:t>
            </w:r>
          </w:p>
        </w:tc>
      </w:tr>
      <w:tr>
        <w:tc>
          <w:tcPr>
            <w:tcW w:type="dxa" w:w="5112"/>
          </w:tcPr>
          <w:p>
            <w:r>
              <w:t>Days 61–90</w:t>
            </w:r>
          </w:p>
        </w:tc>
        <w:tc>
          <w:tcPr>
            <w:tcW w:type="dxa" w:w="5112"/>
          </w:tcPr>
          <w:p>
            <w:r>
              <w:t>Prove repeatability, refine economics/capacity, make scale decision.</w:t>
            </w:r>
          </w:p>
        </w:tc>
      </w:tr>
    </w:tbl>
    <w:p>
      <w:pPr>
        <w:pStyle w:val="Heading1"/>
      </w:pPr>
      <w:r>
        <w:t>31. Launch-Day Command Checklist</w:t>
      </w:r>
    </w:p>
    <w:p>
      <w:pPr>
        <w:pStyle w:val="ListBullet"/>
      </w:pPr>
      <w:r>
        <w:t>Confirm all launch gates are green.</w:t>
      </w:r>
    </w:p>
    <w:p>
      <w:pPr>
        <w:pStyle w:val="ListBullet"/>
      </w:pPr>
      <w:r>
        <w:t>Confirm team owners are available.</w:t>
      </w:r>
    </w:p>
    <w:p>
      <w:pPr>
        <w:pStyle w:val="ListBullet"/>
      </w:pPr>
      <w:r>
        <w:t>Confirm dashboards and alerts.</w:t>
      </w:r>
    </w:p>
    <w:p>
      <w:pPr>
        <w:pStyle w:val="ListBullet"/>
      </w:pPr>
      <w:r>
        <w:t>Confirm payment test/monitoring.</w:t>
      </w:r>
    </w:p>
    <w:p>
      <w:pPr>
        <w:pStyle w:val="ListBullet"/>
      </w:pPr>
      <w:r>
        <w:t>Confirm support/escalation contacts.</w:t>
      </w:r>
    </w:p>
    <w:p>
      <w:pPr>
        <w:pStyle w:val="ListBullet"/>
      </w:pPr>
      <w:r>
        <w:t>Confirm representative availability.</w:t>
      </w:r>
    </w:p>
    <w:p>
      <w:pPr>
        <w:pStyle w:val="ListBullet"/>
      </w:pPr>
      <w:r>
        <w:t>Confirm customer communication templates.</w:t>
      </w:r>
    </w:p>
    <w:p>
      <w:pPr>
        <w:pStyle w:val="ListBullet"/>
      </w:pPr>
      <w:r>
        <w:t>Confirm incident channel/process.</w:t>
      </w:r>
    </w:p>
    <w:p>
      <w:pPr>
        <w:pStyle w:val="ListBullet"/>
      </w:pPr>
      <w:r>
        <w:t>Confirm manual fallback.</w:t>
      </w:r>
    </w:p>
    <w:p>
      <w:pPr>
        <w:pStyle w:val="ListBullet"/>
      </w:pPr>
      <w:r>
        <w:t>Confirm executive decision owner.</w:t>
      </w:r>
    </w:p>
    <w:p>
      <w:pPr>
        <w:pStyle w:val="Heading1"/>
      </w:pPr>
      <w:r>
        <w:t>32. First Live Case Command Checklist</w:t>
      </w:r>
    </w:p>
    <w:p>
      <w:pPr>
        <w:pStyle w:val="ListNumber"/>
      </w:pPr>
      <w:r>
        <w:t>Verify customer/case.</w:t>
      </w:r>
    </w:p>
    <w:p>
      <w:pPr>
        <w:pStyle w:val="ListNumber"/>
      </w:pPr>
      <w:r>
        <w:t>Verify approved scope.</w:t>
      </w:r>
    </w:p>
    <w:p>
      <w:pPr>
        <w:pStyle w:val="ListNumber"/>
      </w:pPr>
      <w:r>
        <w:t>Verify commercial/payment status.</w:t>
      </w:r>
    </w:p>
    <w:p>
      <w:pPr>
        <w:pStyle w:val="ListNumber"/>
      </w:pPr>
      <w:r>
        <w:t>Verify assigned representative.</w:t>
      </w:r>
    </w:p>
    <w:p>
      <w:pPr>
        <w:pStyle w:val="ListNumber"/>
      </w:pPr>
      <w:r>
        <w:t>Verify customer knows next step.</w:t>
      </w:r>
    </w:p>
    <w:p>
      <w:pPr>
        <w:pStyle w:val="ListNumber"/>
      </w:pPr>
      <w:r>
        <w:t>Monitor execution.</w:t>
      </w:r>
    </w:p>
    <w:p>
      <w:pPr>
        <w:pStyle w:val="ListNumber"/>
      </w:pPr>
      <w:r>
        <w:t>Verify evidence.</w:t>
      </w:r>
    </w:p>
    <w:p>
      <w:pPr>
        <w:pStyle w:val="ListNumber"/>
      </w:pPr>
      <w:r>
        <w:t>Verify QC.</w:t>
      </w:r>
    </w:p>
    <w:p>
      <w:pPr>
        <w:pStyle w:val="ListNumber"/>
      </w:pPr>
      <w:r>
        <w:t>Verify report/delivery.</w:t>
      </w:r>
    </w:p>
    <w:p>
      <w:pPr>
        <w:pStyle w:val="ListNumber"/>
      </w:pPr>
      <w:r>
        <w:t>Capture feedback.</w:t>
      </w:r>
    </w:p>
    <w:p>
      <w:pPr>
        <w:pStyle w:val="ListNumber"/>
      </w:pPr>
      <w:r>
        <w:t>Review case as a learning artifact.</w:t>
      </w:r>
    </w:p>
    <w:p>
      <w:pPr>
        <w:pStyle w:val="Heading1"/>
      </w:pPr>
      <w:r>
        <w:t>33. Executive Review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Item</w:t>
            </w:r>
          </w:p>
        </w:tc>
        <w:tc>
          <w:tcPr>
            <w:tcW w:type="dxa" w:w="1704"/>
          </w:tcPr>
          <w:p>
            <w:r>
              <w:t>Status</w:t>
            </w:r>
          </w:p>
        </w:tc>
        <w:tc>
          <w:tcPr>
            <w:tcW w:type="dxa" w:w="1704"/>
          </w:tcPr>
          <w:p>
            <w:r>
              <w:t>Evidence</w:t>
            </w:r>
          </w:p>
        </w:tc>
        <w:tc>
          <w:tcPr>
            <w:tcW w:type="dxa" w:w="1704"/>
          </w:tcPr>
          <w:p>
            <w:r>
              <w:t>Decision/Action</w:t>
            </w:r>
          </w:p>
        </w:tc>
        <w:tc>
          <w:tcPr>
            <w:tcW w:type="dxa" w:w="1704"/>
          </w:tcPr>
          <w:p>
            <w:r>
              <w:t>Owner</w:t>
            </w:r>
          </w:p>
        </w:tc>
        <w:tc>
          <w:tcPr>
            <w:tcW w:type="dxa" w:w="1704"/>
          </w:tcPr>
          <w:p>
            <w:r>
              <w:t>Due</w:t>
            </w:r>
          </w:p>
        </w:tc>
      </w:tr>
      <w:tr>
        <w:tc>
          <w:tcPr>
            <w:tcW w:type="dxa" w:w="1704"/>
          </w:tcPr>
          <w:p>
            <w:r>
              <w:t>Pilot funnel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Operations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Quality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Customer trust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Commercial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Technology/security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Field network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Top risks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Key learning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</w:tbl>
    <w:p>
      <w:pPr>
        <w:pStyle w:val="Heading1"/>
      </w:pPr>
      <w:r>
        <w:t>34. P0 Command Center No-Go Conditions</w:t>
      </w:r>
    </w:p>
    <w:p>
      <w:pPr>
        <w:pStyle w:val="ListBullet"/>
      </w:pPr>
      <w:r>
        <w:t>Executive team cannot identify the accountable owner for active cases.</w:t>
      </w:r>
    </w:p>
    <w:p>
      <w:pPr>
        <w:pStyle w:val="ListBullet"/>
      </w:pPr>
      <w:r>
        <w:t>Golden path cannot complete safely.</w:t>
      </w:r>
    </w:p>
    <w:p>
      <w:pPr>
        <w:pStyle w:val="ListBullet"/>
      </w:pPr>
      <w:r>
        <w:t>Security/evidence/payment controls are not proven.</w:t>
      </w:r>
    </w:p>
    <w:p>
      <w:pPr>
        <w:pStyle w:val="ListBullet"/>
      </w:pPr>
      <w:r>
        <w:t>Operations has no manual fallback.</w:t>
      </w:r>
    </w:p>
    <w:p>
      <w:pPr>
        <w:pStyle w:val="ListBullet"/>
      </w:pPr>
      <w:r>
        <w:t>Customer complaints cannot be owned/resolved.</w:t>
      </w:r>
    </w:p>
    <w:p>
      <w:pPr>
        <w:pStyle w:val="ListBullet"/>
      </w:pPr>
      <w:r>
        <w:t>QC can be bypassed.</w:t>
      </w:r>
    </w:p>
    <w:p>
      <w:pPr>
        <w:pStyle w:val="ListBullet"/>
      </w:pPr>
      <w:r>
        <w:t>Pilot volume exceeds operational capacity without an explicit intake-control mechanism.</w:t>
      </w:r>
    </w:p>
    <w:p>
      <w:pPr>
        <w:pStyle w:val="ListBullet"/>
      </w:pPr>
      <w:r>
        <w:t>Key metrics are unavailable or misleading.</w:t>
      </w:r>
    </w:p>
    <w:p>
      <w:pPr>
        <w:pStyle w:val="ListBullet"/>
      </w:pPr>
      <w:r>
        <w:t>Critical risks have no owner or decision date.</w:t>
      </w:r>
    </w:p>
    <w:p>
      <w:pPr>
        <w:pStyle w:val="ListBullet"/>
      </w:pPr>
      <w:r>
        <w:t>The pilot is optimizing acquisition faster than the organization can deliver trusted outcomes.</w:t>
      </w:r>
    </w:p>
    <w:p>
      <w:pPr>
        <w:pStyle w:val="Heading1"/>
      </w:pPr>
      <w:r>
        <w:t>35. Final Executive Principle</w:t>
      </w:r>
    </w:p>
    <w:p>
      <w:r>
        <w:rPr>
          <w:b/>
        </w:rPr>
        <w:t>The first 100 customers are not simply customers. They are the evidence base for whether ASOJU has built a trustworthy, repeatable operating system.</w:t>
      </w:r>
    </w:p>
    <w:p>
      <w:r>
        <w:rPr>
          <w:b w:val="0"/>
        </w:rPr>
        <w:t>The command center exists to make that evidence visible: what is working, what is failing, what customers are telling us, what the operation can sustain, and what must change before the next level of scale.</w:t>
      </w:r>
    </w:p>
    <w:p>
      <w:pPr>
        <w:pStyle w:val="Heading1"/>
      </w:pPr>
      <w:r>
        <w:t>36. Governance</w:t>
      </w:r>
    </w:p>
    <w:p>
      <w:r>
        <w:rPr>
          <w:b w:val="0"/>
        </w:rPr>
        <w:t>Document owner: ASOJU Executive Sponsor / Product / Operations.</w:t>
      </w:r>
    </w:p>
    <w:p>
      <w:r>
        <w:rPr>
          <w:b w:val="0"/>
        </w:rPr>
        <w:t>Version: 1.0 | P0 Pilot.</w:t>
      </w:r>
    </w:p>
    <w:p>
      <w:r>
        <w:rPr>
          <w:b w:val="0"/>
        </w:rPr>
        <w:t>Use this document as the executive layer above the detailed P0 technical, operational, security, QA and GTM documents.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