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P0 SERVICE CATALOGUE</w:t>
        <w:br/>
        <w:t>&amp; PRICING FRAMEWORK</w:t>
      </w:r>
    </w:p>
    <w:p>
      <w:pPr>
        <w:jc w:val="center"/>
      </w:pPr>
      <w:r>
        <w:rPr>
          <w:b/>
        </w:rPr>
        <w:t>Version 1.0 | P0 Pilot</w:t>
      </w:r>
    </w:p>
    <w:p>
      <w:r>
        <w:rPr>
          <w:b w:val="0"/>
        </w:rPr>
        <w:t>Brand: ASOJU — Your Trusted Rep Back Home.</w:t>
      </w:r>
    </w:p>
    <w:p>
      <w:r>
        <w:rPr>
          <w:b w:val="0"/>
        </w:rPr>
        <w:t>Purpose: establish the P0 service architecture, scope boundaries and pricing logic for Concierge and Operations.</w:t>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Value</w:t>
            </w:r>
          </w:p>
        </w:tc>
      </w:tr>
      <w:tr>
        <w:tc>
          <w:tcPr>
            <w:tcW w:type="dxa" w:w="5112"/>
          </w:tcPr>
          <w:p>
            <w:r>
              <w:t>Document</w:t>
            </w:r>
          </w:p>
        </w:tc>
        <w:tc>
          <w:tcPr>
            <w:tcW w:type="dxa" w:w="5112"/>
          </w:tcPr>
          <w:p>
            <w:r>
              <w:t>ASOJU P0 Service Catalogue &amp; Pricing Framework</w:t>
            </w:r>
          </w:p>
        </w:tc>
      </w:tr>
      <w:tr>
        <w:tc>
          <w:tcPr>
            <w:tcW w:type="dxa" w:w="5112"/>
          </w:tcPr>
          <w:p>
            <w:r>
              <w:t>Version</w:t>
            </w:r>
          </w:p>
        </w:tc>
        <w:tc>
          <w:tcPr>
            <w:tcW w:type="dxa" w:w="5112"/>
          </w:tcPr>
          <w:p>
            <w:r>
              <w:t>1.0</w:t>
            </w:r>
          </w:p>
        </w:tc>
      </w:tr>
      <w:tr>
        <w:tc>
          <w:tcPr>
            <w:tcW w:type="dxa" w:w="5112"/>
          </w:tcPr>
          <w:p>
            <w:r>
              <w:t>Phase</w:t>
            </w:r>
          </w:p>
        </w:tc>
        <w:tc>
          <w:tcPr>
            <w:tcW w:type="dxa" w:w="5112"/>
          </w:tcPr>
          <w:p>
            <w:r>
              <w:t>P0 Pilot</w:t>
            </w:r>
          </w:p>
        </w:tc>
      </w:tr>
      <w:tr>
        <w:tc>
          <w:tcPr>
            <w:tcW w:type="dxa" w:w="5112"/>
          </w:tcPr>
          <w:p>
            <w:r>
              <w:t>Owner</w:t>
            </w:r>
          </w:p>
        </w:tc>
        <w:tc>
          <w:tcPr>
            <w:tcW w:type="dxa" w:w="5112"/>
          </w:tcPr>
          <w:p>
            <w:r>
              <w:t>ASOJU Operations / Commercial</w:t>
            </w:r>
          </w:p>
        </w:tc>
      </w:tr>
      <w:tr>
        <w:tc>
          <w:tcPr>
            <w:tcW w:type="dxa" w:w="5112"/>
          </w:tcPr>
          <w:p>
            <w:r>
              <w:t>Pricing status</w:t>
            </w:r>
          </w:p>
        </w:tc>
        <w:tc>
          <w:tcPr>
            <w:tcW w:type="dxa" w:w="5112"/>
          </w:tcPr>
          <w:p>
            <w:r>
              <w:t>Working hypotheses for pilot validation</w:t>
            </w:r>
          </w:p>
        </w:tc>
      </w:tr>
    </w:tbl>
    <w:p>
      <w:pPr>
        <w:pStyle w:val="Heading1"/>
      </w:pPr>
      <w:r>
        <w:t>1. Commercial Philosophy</w:t>
      </w:r>
    </w:p>
    <w:p>
      <w:r>
        <w:rPr>
          <w:b w:val="0"/>
        </w:rPr>
        <w:t>ASOJU is not positioned as the cheapest way to get an errand done. The value proposition is trusted local representation: someone on the ground who can verify, execute, supervise and report with accountability.</w:t>
      </w:r>
    </w:p>
    <w:p>
      <w:r>
        <w:rPr>
          <w:b/>
        </w:rPr>
        <w:t>PRICE THE RESPONSIBILITY, NOT JUST THE TASK.</w:t>
      </w:r>
    </w:p>
    <w:p>
      <w:pPr>
        <w:pStyle w:val="ListBullet"/>
      </w:pPr>
      <w:r>
        <w:t>Scope clarity</w:t>
      </w:r>
    </w:p>
    <w:p>
      <w:pPr>
        <w:pStyle w:val="ListBullet"/>
      </w:pPr>
      <w:r>
        <w:t>Field effort</w:t>
      </w:r>
    </w:p>
    <w:p>
      <w:pPr>
        <w:pStyle w:val="ListBullet"/>
      </w:pPr>
      <w:r>
        <w:t>Travel/logistics</w:t>
      </w:r>
    </w:p>
    <w:p>
      <w:pPr>
        <w:pStyle w:val="ListBullet"/>
      </w:pPr>
      <w:r>
        <w:t>Evidence and reporting</w:t>
      </w:r>
    </w:p>
    <w:p>
      <w:pPr>
        <w:pStyle w:val="ListBullet"/>
      </w:pPr>
      <w:r>
        <w:t>Quality control</w:t>
      </w:r>
    </w:p>
    <w:p>
      <w:pPr>
        <w:pStyle w:val="ListBullet"/>
      </w:pPr>
      <w:r>
        <w:t>Operational coordination</w:t>
      </w:r>
    </w:p>
    <w:p>
      <w:pPr>
        <w:pStyle w:val="ListBullet"/>
      </w:pPr>
      <w:r>
        <w:t>Risk and accountability</w:t>
      </w:r>
    </w:p>
    <w:p>
      <w:pPr>
        <w:pStyle w:val="ListBullet"/>
      </w:pPr>
      <w:r>
        <w:t>Recurring oversight where applicable</w:t>
      </w:r>
    </w:p>
    <w:p>
      <w:pPr>
        <w:pStyle w:val="Heading1"/>
      </w:pPr>
      <w:r>
        <w:t>2. P0 Service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Service Family</w:t>
            </w:r>
          </w:p>
        </w:tc>
        <w:tc>
          <w:tcPr>
            <w:tcW w:type="dxa" w:w="3408"/>
          </w:tcPr>
          <w:p>
            <w:r>
              <w:t>Core Problem</w:t>
            </w:r>
          </w:p>
        </w:tc>
        <w:tc>
          <w:tcPr>
            <w:tcW w:type="dxa" w:w="3408"/>
          </w:tcPr>
          <w:p>
            <w:r>
              <w:t>Primary Role</w:t>
            </w:r>
          </w:p>
        </w:tc>
      </w:tr>
      <w:tr>
        <w:tc>
          <w:tcPr>
            <w:tcW w:type="dxa" w:w="3408"/>
          </w:tcPr>
          <w:p>
            <w:r>
              <w:t>ASOJU Verify</w:t>
            </w:r>
          </w:p>
        </w:tc>
        <w:tc>
          <w:tcPr>
            <w:tcW w:type="dxa" w:w="3408"/>
          </w:tcPr>
          <w:p>
            <w:r>
              <w:t>I need to know what is actually happening.</w:t>
            </w:r>
          </w:p>
        </w:tc>
        <w:tc>
          <w:tcPr>
            <w:tcW w:type="dxa" w:w="3408"/>
          </w:tcPr>
          <w:p>
            <w:r>
              <w:t>Trust gateway / one-off verification</w:t>
            </w:r>
          </w:p>
        </w:tc>
      </w:tr>
      <w:tr>
        <w:tc>
          <w:tcPr>
            <w:tcW w:type="dxa" w:w="3408"/>
          </w:tcPr>
          <w:p>
            <w:r>
              <w:t>ASOJU Projects</w:t>
            </w:r>
          </w:p>
        </w:tc>
        <w:tc>
          <w:tcPr>
            <w:tcW w:type="dxa" w:w="3408"/>
          </w:tcPr>
          <w:p>
            <w:r>
              <w:t>I need someone to oversee my project.</w:t>
            </w:r>
          </w:p>
        </w:tc>
        <w:tc>
          <w:tcPr>
            <w:tcW w:type="dxa" w:w="3408"/>
          </w:tcPr>
          <w:p>
            <w:r>
              <w:t>Construction/project monitoring</w:t>
            </w:r>
          </w:p>
        </w:tc>
      </w:tr>
      <w:tr>
        <w:tc>
          <w:tcPr>
            <w:tcW w:type="dxa" w:w="3408"/>
          </w:tcPr>
          <w:p>
            <w:r>
              <w:t>ASOJU Assets</w:t>
            </w:r>
          </w:p>
        </w:tc>
        <w:tc>
          <w:tcPr>
            <w:tcW w:type="dxa" w:w="3408"/>
          </w:tcPr>
          <w:p>
            <w:r>
              <w:t>I can't be there to look after what I own.</w:t>
            </w:r>
          </w:p>
        </w:tc>
        <w:tc>
          <w:tcPr>
            <w:tcW w:type="dxa" w:w="3408"/>
          </w:tcPr>
          <w:p>
            <w:r>
              <w:t>Property/asset monitoring</w:t>
            </w:r>
          </w:p>
        </w:tc>
      </w:tr>
      <w:tr>
        <w:tc>
          <w:tcPr>
            <w:tcW w:type="dxa" w:w="3408"/>
          </w:tcPr>
          <w:p>
            <w:r>
              <w:t>ASOJU Concierge</w:t>
            </w:r>
          </w:p>
        </w:tc>
        <w:tc>
          <w:tcPr>
            <w:tcW w:type="dxa" w:w="3408"/>
          </w:tcPr>
          <w:p>
            <w:r>
              <w:t>I need something handled back home.</w:t>
            </w:r>
          </w:p>
        </w:tc>
        <w:tc>
          <w:tcPr>
            <w:tcW w:type="dxa" w:w="3408"/>
          </w:tcPr>
          <w:p>
            <w:r>
              <w:t>General request discovery/execution</w:t>
            </w:r>
          </w:p>
        </w:tc>
      </w:tr>
      <w:tr>
        <w:tc>
          <w:tcPr>
            <w:tcW w:type="dxa" w:w="3408"/>
          </w:tcPr>
          <w:p>
            <w:r>
              <w:t>ASOJU Business</w:t>
            </w:r>
          </w:p>
        </w:tc>
        <w:tc>
          <w:tcPr>
            <w:tcW w:type="dxa" w:w="3408"/>
          </w:tcPr>
          <w:p>
            <w:r>
              <w:t>I need someone on the ground for my business.</w:t>
            </w:r>
          </w:p>
        </w:tc>
        <w:tc>
          <w:tcPr>
            <w:tcW w:type="dxa" w:w="3408"/>
          </w:tcPr>
          <w:p>
            <w:r>
              <w:t>Business/site verification and monitoring</w:t>
            </w:r>
          </w:p>
        </w:tc>
      </w:tr>
    </w:tbl>
    <w:p>
      <w:pPr>
        <w:pStyle w:val="Heading1"/>
      </w:pPr>
      <w:r>
        <w:t>3. ASOJU Verify</w:t>
      </w:r>
    </w:p>
    <w:p>
      <w:r>
        <w:rPr>
          <w:b w:val="0"/>
        </w:rPr>
        <w:t>A defined on-ground verification or inspection assignment designed to reduce uncertainty.</w:t>
      </w:r>
    </w:p>
    <w:p>
      <w:pPr>
        <w:pStyle w:val="ListBullet"/>
      </w:pPr>
      <w:r>
        <w:t>Property verification</w:t>
      </w:r>
    </w:p>
    <w:p>
      <w:pPr>
        <w:pStyle w:val="ListBullet"/>
      </w:pPr>
      <w:r>
        <w:t>Property inspection</w:t>
      </w:r>
    </w:p>
    <w:p>
      <w:pPr>
        <w:pStyle w:val="ListBullet"/>
      </w:pPr>
      <w:r>
        <w:t>Construction progress checks</w:t>
      </w:r>
    </w:p>
    <w:p>
      <w:pPr>
        <w:pStyle w:val="ListBullet"/>
      </w:pPr>
      <w:r>
        <w:t>Asset condition checks</w:t>
      </w:r>
    </w:p>
    <w:p>
      <w:pPr>
        <w:pStyle w:val="ListBullet"/>
      </w:pPr>
      <w:r>
        <w:t>Business/site verification</w:t>
      </w:r>
    </w:p>
    <w:p>
      <w:pPr>
        <w:pStyle w:val="Heading2"/>
      </w:pPr>
      <w:r>
        <w:t>Standard scope</w:t>
      </w:r>
    </w:p>
    <w:p>
      <w:pPr>
        <w:pStyle w:val="ListBullet"/>
      </w:pPr>
      <w:r>
        <w:t>Physical visit within agreed location</w:t>
      </w:r>
    </w:p>
    <w:p>
      <w:pPr>
        <w:pStyle w:val="ListBullet"/>
      </w:pPr>
      <w:r>
        <w:t>Defined checklist</w:t>
      </w:r>
    </w:p>
    <w:p>
      <w:pPr>
        <w:pStyle w:val="ListBullet"/>
      </w:pPr>
      <w:r>
        <w:t>Relevant observations</w:t>
      </w:r>
    </w:p>
    <w:p>
      <w:pPr>
        <w:pStyle w:val="ListBullet"/>
      </w:pPr>
      <w:r>
        <w:t>Appropriate photographic/video evidence</w:t>
      </w:r>
    </w:p>
    <w:p>
      <w:pPr>
        <w:pStyle w:val="ListBullet"/>
      </w:pPr>
      <w:r>
        <w:t>Structured findings</w:t>
      </w:r>
    </w:p>
    <w:p>
      <w:pPr>
        <w:pStyle w:val="ListBullet"/>
      </w:pPr>
      <w:r>
        <w:t>Exceptions/limitations</w:t>
      </w:r>
    </w:p>
    <w:p>
      <w:pPr>
        <w:pStyle w:val="ListBullet"/>
      </w:pPr>
      <w:r>
        <w:t>QC review where required</w:t>
      </w:r>
    </w:p>
    <w:p>
      <w:pPr>
        <w:pStyle w:val="ListBullet"/>
      </w:pPr>
      <w:r>
        <w:t>Customer report</w:t>
      </w:r>
    </w:p>
    <w:p>
      <w:pPr>
        <w:pStyle w:val="Heading2"/>
      </w:pPr>
      <w:r>
        <w:t>Typical exclusions</w:t>
      </w:r>
    </w:p>
    <w:p>
      <w:pPr>
        <w:pStyle w:val="ListBullet"/>
      </w:pPr>
      <w:r>
        <w:t>Legal title opinions</w:t>
      </w:r>
    </w:p>
    <w:p>
      <w:pPr>
        <w:pStyle w:val="ListBullet"/>
      </w:pPr>
      <w:r>
        <w:t>Engineering certification</w:t>
      </w:r>
    </w:p>
    <w:p>
      <w:pPr>
        <w:pStyle w:val="ListBullet"/>
      </w:pPr>
      <w:r>
        <w:t>Professional valuation</w:t>
      </w:r>
    </w:p>
    <w:p>
      <w:pPr>
        <w:pStyle w:val="ListBullet"/>
      </w:pPr>
      <w:r>
        <w:t>Hidden defects that cannot reasonably be observed</w:t>
      </w:r>
    </w:p>
    <w:p>
      <w:pPr>
        <w:pStyle w:val="ListBullet"/>
      </w:pPr>
      <w:r>
        <w:t>Guarantees about third-party honesty or future performance</w:t>
      </w:r>
    </w:p>
    <w:p>
      <w:pPr>
        <w:pStyle w:val="ListBullet"/>
      </w:pPr>
      <w:r>
        <w:t>Regulated professional advice unless appropriately provided</w:t>
      </w:r>
    </w:p>
    <w:p>
      <w:r>
        <w:rPr>
          <w:b w:val="0"/>
        </w:rPr>
        <w:t>Pricing basis: base service fee + location/travel complexity + scope complexity + evidence/reporting + approved third-party costs.</w:t>
      </w:r>
    </w:p>
    <w:p>
      <w:pPr>
        <w:pStyle w:val="Heading1"/>
      </w:pPr>
      <w:r>
        <w:t>4. ASOJU Projects</w:t>
      </w:r>
    </w:p>
    <w:p>
      <w:r>
        <w:rPr>
          <w:b w:val="0"/>
        </w:rPr>
        <w:t>On-ground oversight for customers managing construction or other physical projects from abroad.</w:t>
      </w:r>
    </w:p>
    <w:p>
      <w:pPr>
        <w:pStyle w:val="ListBullet"/>
      </w:pPr>
      <w:r>
        <w:t>Progress monitoring</w:t>
      </w:r>
    </w:p>
    <w:p>
      <w:pPr>
        <w:pStyle w:val="ListBullet"/>
      </w:pPr>
      <w:r>
        <w:t>Milestone verification</w:t>
      </w:r>
    </w:p>
    <w:p>
      <w:pPr>
        <w:pStyle w:val="ListBullet"/>
      </w:pPr>
      <w:r>
        <w:t>Site condition checks</w:t>
      </w:r>
    </w:p>
    <w:p>
      <w:pPr>
        <w:pStyle w:val="ListBullet"/>
      </w:pPr>
      <w:r>
        <w:t>Materials observation where within scope</w:t>
      </w:r>
    </w:p>
    <w:p>
      <w:pPr>
        <w:pStyle w:val="ListBullet"/>
      </w:pPr>
      <w:r>
        <w:t>Contractor activity checks</w:t>
      </w:r>
    </w:p>
    <w:p>
      <w:pPr>
        <w:pStyle w:val="ListBullet"/>
      </w:pPr>
      <w:r>
        <w:t>Recurring project visits</w:t>
      </w:r>
    </w:p>
    <w:p>
      <w:pPr>
        <w:pStyle w:val="ListBullet"/>
      </w:pPr>
      <w:r>
        <w:t>Exception reporting</w:t>
      </w:r>
    </w:p>
    <w:p>
      <w:r>
        <w:rPr>
          <w:b w:val="0"/>
        </w:rPr>
        <w:t>Recurring plans may be monthly, biweekly or milestone-based after the initial scope is validated.</w:t>
      </w:r>
    </w:p>
    <w:p>
      <w:r>
        <w:rPr>
          <w:b w:val="0"/>
        </w:rPr>
        <w:t>Boundary: ordinary monitoring must not be represented as professional engineering or construction certification unless an appropriately qualified professional is engaged.</w:t>
      </w:r>
    </w:p>
    <w:p>
      <w:pPr>
        <w:pStyle w:val="Heading1"/>
      </w:pPr>
      <w:r>
        <w:t>5. ASOJU Assets</w:t>
      </w:r>
    </w:p>
    <w:p>
      <w:r>
        <w:rPr>
          <w:b w:val="0"/>
        </w:rPr>
        <w:t>Ongoing visibility over property and other physical assets the customer cannot regularly inspect.</w:t>
      </w:r>
    </w:p>
    <w:p>
      <w:pPr>
        <w:pStyle w:val="ListBullet"/>
      </w:pPr>
      <w:r>
        <w:t>Property</w:t>
      </w:r>
    </w:p>
    <w:p>
      <w:pPr>
        <w:pStyle w:val="ListBullet"/>
      </w:pPr>
      <w:r>
        <w:t>Equipment</w:t>
      </w:r>
    </w:p>
    <w:p>
      <w:pPr>
        <w:pStyle w:val="ListBullet"/>
      </w:pPr>
      <w:r>
        <w:t>Vehicles where appropriate</w:t>
      </w:r>
    </w:p>
    <w:p>
      <w:pPr>
        <w:pStyle w:val="ListBullet"/>
      </w:pPr>
      <w:r>
        <w:t>Business assets</w:t>
      </w:r>
    </w:p>
    <w:p>
      <w:pPr>
        <w:pStyle w:val="ListBullet"/>
      </w:pPr>
      <w:r>
        <w:t>Other agreed physical assets</w:t>
      </w:r>
    </w:p>
    <w:p>
      <w:r>
        <w:rPr>
          <w:b w:val="0"/>
        </w:rPr>
        <w:t>Recurring model: scheduled inspection → evidence → condition report → exception escalation → repeat.</w:t>
      </w:r>
    </w:p>
    <w:p>
      <w:pPr>
        <w:pStyle w:val="Heading1"/>
      </w:pPr>
      <w:r>
        <w:t>6. ASOJU Concierge</w:t>
      </w:r>
    </w:p>
    <w:p>
      <w:r>
        <w:rPr>
          <w:b w:val="0"/>
        </w:rPr>
        <w:t>The front door for requests that do not fit neatly into a predefined service.</w:t>
      </w:r>
    </w:p>
    <w:p>
      <w:r>
        <w:rPr>
          <w:b/>
        </w:rPr>
        <w:t>Customer message: “Tell us what you need handled.”</w:t>
      </w:r>
    </w:p>
    <w:p>
      <w:r>
        <w:rPr>
          <w:b w:val="0"/>
        </w:rPr>
        <w:t>Every paid Concierge assignment still requires defined scope, owner, SLA, price and deliverable. Concierge is not unlimited bespoke labour.</w:t>
      </w:r>
    </w:p>
    <w:p>
      <w:pPr>
        <w:pStyle w:val="Heading1"/>
      </w:pPr>
      <w:r>
        <w:t>7. ASOJU Business</w:t>
      </w:r>
    </w:p>
    <w:p>
      <w:r>
        <w:rPr>
          <w:b w:val="0"/>
        </w:rPr>
        <w:t>On-ground verification and monitoring for diaspora-owned or diaspora-managed Nigerian business operations.</w:t>
      </w:r>
    </w:p>
    <w:p>
      <w:pPr>
        <w:pStyle w:val="ListBullet"/>
      </w:pPr>
      <w:r>
        <w:t>Business/site visits</w:t>
      </w:r>
    </w:p>
    <w:p>
      <w:pPr>
        <w:pStyle w:val="ListBullet"/>
      </w:pPr>
      <w:r>
        <w:t>Operational observations</w:t>
      </w:r>
    </w:p>
    <w:p>
      <w:pPr>
        <w:pStyle w:val="ListBullet"/>
      </w:pPr>
      <w:r>
        <w:t>Inventory/asset checks within defined scope</w:t>
      </w:r>
    </w:p>
    <w:p>
      <w:pPr>
        <w:pStyle w:val="ListBullet"/>
      </w:pPr>
      <w:r>
        <w:t>Supplier/site verification</w:t>
      </w:r>
    </w:p>
    <w:p>
      <w:pPr>
        <w:pStyle w:val="ListBullet"/>
      </w:pPr>
      <w:r>
        <w:t>Recurring business/site monitoring</w:t>
      </w:r>
    </w:p>
    <w:p>
      <w:pPr>
        <w:pStyle w:val="ListBullet"/>
      </w:pPr>
      <w:r>
        <w:t>Exception reporting</w:t>
      </w:r>
    </w:p>
    <w:p>
      <w:r>
        <w:rPr>
          <w:b w:val="0"/>
        </w:rPr>
        <w:t>Boundary: do not present ASOJU as an audit, statutory inspection, professional investigation or regulated advisory service unless appropriately qualified and contracted.</w:t>
      </w:r>
    </w:p>
    <w:p>
      <w:pPr>
        <w:pStyle w:val="Heading1"/>
      </w:pPr>
      <w:r>
        <w:t>8. Service Packaging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Package</w:t>
            </w:r>
          </w:p>
        </w:tc>
        <w:tc>
          <w:tcPr>
            <w:tcW w:type="dxa" w:w="3408"/>
          </w:tcPr>
          <w:p>
            <w:r>
              <w:t>Purpose</w:t>
            </w:r>
          </w:p>
        </w:tc>
        <w:tc>
          <w:tcPr>
            <w:tcW w:type="dxa" w:w="3408"/>
          </w:tcPr>
          <w:p>
            <w:r>
              <w:t>Commercial Role</w:t>
            </w:r>
          </w:p>
        </w:tc>
      </w:tr>
      <w:tr>
        <w:tc>
          <w:tcPr>
            <w:tcW w:type="dxa" w:w="3408"/>
          </w:tcPr>
          <w:p>
            <w:r>
              <w:t>One-Off Verify</w:t>
            </w:r>
          </w:p>
        </w:tc>
        <w:tc>
          <w:tcPr>
            <w:tcW w:type="dxa" w:w="3408"/>
          </w:tcPr>
          <w:p>
            <w:r>
              <w:t>Resolve a specific uncertainty.</w:t>
            </w:r>
          </w:p>
        </w:tc>
        <w:tc>
          <w:tcPr>
            <w:tcW w:type="dxa" w:w="3408"/>
          </w:tcPr>
          <w:p>
            <w:r>
              <w:t>Acquisition / trust gateway</w:t>
            </w:r>
          </w:p>
        </w:tc>
      </w:tr>
      <w:tr>
        <w:tc>
          <w:tcPr>
            <w:tcW w:type="dxa" w:w="3408"/>
          </w:tcPr>
          <w:p>
            <w:r>
              <w:t>Project Visit</w:t>
            </w:r>
          </w:p>
        </w:tc>
        <w:tc>
          <w:tcPr>
            <w:tcW w:type="dxa" w:w="3408"/>
          </w:tcPr>
          <w:p>
            <w:r>
              <w:t>Check a defined project milestone or condition.</w:t>
            </w:r>
          </w:p>
        </w:tc>
        <w:tc>
          <w:tcPr>
            <w:tcW w:type="dxa" w:w="3408"/>
          </w:tcPr>
          <w:p>
            <w:r>
              <w:t>High-value transaction</w:t>
            </w:r>
          </w:p>
        </w:tc>
      </w:tr>
      <w:tr>
        <w:tc>
          <w:tcPr>
            <w:tcW w:type="dxa" w:w="3408"/>
          </w:tcPr>
          <w:p>
            <w:r>
              <w:t>Recurring Monitor</w:t>
            </w:r>
          </w:p>
        </w:tc>
        <w:tc>
          <w:tcPr>
            <w:tcW w:type="dxa" w:w="3408"/>
          </w:tcPr>
          <w:p>
            <w:r>
              <w:t>Maintain visibility over an asset/project/site.</w:t>
            </w:r>
          </w:p>
        </w:tc>
        <w:tc>
          <w:tcPr>
            <w:tcW w:type="dxa" w:w="3408"/>
          </w:tcPr>
          <w:p>
            <w:r>
              <w:t>Retention / recurring revenue</w:t>
            </w:r>
          </w:p>
        </w:tc>
      </w:tr>
      <w:tr>
        <w:tc>
          <w:tcPr>
            <w:tcW w:type="dxa" w:w="3408"/>
          </w:tcPr>
          <w:p>
            <w:r>
              <w:t>Concierge Case</w:t>
            </w:r>
          </w:p>
        </w:tc>
        <w:tc>
          <w:tcPr>
            <w:tcW w:type="dxa" w:w="3408"/>
          </w:tcPr>
          <w:p>
            <w:r>
              <w:t>Handle an agreed custom task.</w:t>
            </w:r>
          </w:p>
        </w:tc>
        <w:tc>
          <w:tcPr>
            <w:tcW w:type="dxa" w:w="3408"/>
          </w:tcPr>
          <w:p>
            <w:r>
              <w:t>Flexible entry point</w:t>
            </w:r>
          </w:p>
        </w:tc>
      </w:tr>
      <w:tr>
        <w:tc>
          <w:tcPr>
            <w:tcW w:type="dxa" w:w="3408"/>
          </w:tcPr>
          <w:p>
            <w:r>
              <w:t>Business Monitor</w:t>
            </w:r>
          </w:p>
        </w:tc>
        <w:tc>
          <w:tcPr>
            <w:tcW w:type="dxa" w:w="3408"/>
          </w:tcPr>
          <w:p>
            <w:r>
              <w:t>Provide recurring operational visibility.</w:t>
            </w:r>
          </w:p>
        </w:tc>
        <w:tc>
          <w:tcPr>
            <w:tcW w:type="dxa" w:w="3408"/>
          </w:tcPr>
          <w:p>
            <w:r>
              <w:t>Higher-value expansion</w:t>
            </w:r>
          </w:p>
        </w:tc>
      </w:tr>
    </w:tbl>
    <w:p>
      <w:pPr>
        <w:pStyle w:val="Heading1"/>
      </w:pPr>
      <w:r>
        <w:t>9. P0 Pricing Architecture</w:t>
      </w:r>
    </w:p>
    <w:p>
      <w:r>
        <w:rPr>
          <w:b w:val="0"/>
        </w:rPr>
        <w:t>Do not lock universal public prices until the first customer cohort validates travel costs, field effort, evidence requirements, willingness to pay and contribution margin.</w:t>
      </w:r>
    </w:p>
    <w:p>
      <w:r>
        <w:rPr>
          <w:b/>
        </w:rPr>
        <w:t>BASE FEE + LOCATION/TRAVEL + COMPLEXITY + EVIDENCE/REPORTING + THIRD-PARTY COSTS + URGENCY PREMIUM (IF APPLICABLE)</w:t>
      </w:r>
    </w:p>
    <w:p>
      <w:pPr>
        <w:pStyle w:val="Heading1"/>
      </w:pPr>
      <w:r>
        <w:t>10. Base Fee</w:t>
      </w:r>
    </w:p>
    <w:p>
      <w:r>
        <w:rPr>
          <w:b w:val="0"/>
        </w:rPr>
        <w:t>The base fee represents the minimum operational value of an assignment before exceptional travel, complexity or third-party costs.</w:t>
      </w:r>
    </w:p>
    <w:p>
      <w:pPr>
        <w:pStyle w:val="ListBullet"/>
      </w:pPr>
      <w:r>
        <w:t>Concierge/coordination time</w:t>
      </w:r>
    </w:p>
    <w:p>
      <w:pPr>
        <w:pStyle w:val="ListBullet"/>
      </w:pPr>
      <w:r>
        <w:t>Representative allocation</w:t>
      </w:r>
    </w:p>
    <w:p>
      <w:pPr>
        <w:pStyle w:val="ListBullet"/>
      </w:pPr>
      <w:r>
        <w:t>Basic field execution</w:t>
      </w:r>
    </w:p>
    <w:p>
      <w:pPr>
        <w:pStyle w:val="ListBullet"/>
      </w:pPr>
      <w:r>
        <w:t>Standard evidence collection</w:t>
      </w:r>
    </w:p>
    <w:p>
      <w:pPr>
        <w:pStyle w:val="ListBullet"/>
      </w:pPr>
      <w:r>
        <w:t>Standard reporting</w:t>
      </w:r>
    </w:p>
    <w:p>
      <w:pPr>
        <w:pStyle w:val="ListBullet"/>
      </w:pPr>
      <w:r>
        <w:t>Normal QC where applicable</w:t>
      </w:r>
    </w:p>
    <w:p>
      <w:pPr>
        <w:pStyle w:val="Heading1"/>
      </w:pPr>
      <w:r>
        <w:t>11. Location &amp; Travel</w:t>
      </w:r>
    </w:p>
    <w:tbl>
      <w:tblPr>
        <w:tblStyle w:val="TableGrid"/>
        <w:tblW w:type="auto" w:w="0"/>
        <w:jc w:val="center"/>
        <w:tblLook w:firstColumn="1" w:firstRow="1" w:lastColumn="0" w:lastRow="0" w:noHBand="0" w:noVBand="1" w:val="04A0"/>
      </w:tblPr>
      <w:tblGrid>
        <w:gridCol w:w="5112"/>
        <w:gridCol w:w="5112"/>
      </w:tblGrid>
      <w:tr>
        <w:tc>
          <w:tcPr>
            <w:tcW w:type="dxa" w:w="5112"/>
          </w:tcPr>
          <w:p>
            <w:r>
              <w:t>Factor</w:t>
            </w:r>
          </w:p>
        </w:tc>
        <w:tc>
          <w:tcPr>
            <w:tcW w:type="dxa" w:w="5112"/>
          </w:tcPr>
          <w:p>
            <w:r>
              <w:t>Treatment</w:t>
            </w:r>
          </w:p>
        </w:tc>
      </w:tr>
      <w:tr>
        <w:tc>
          <w:tcPr>
            <w:tcW w:type="dxa" w:w="5112"/>
          </w:tcPr>
          <w:p>
            <w:r>
              <w:t>Same local area</w:t>
            </w:r>
          </w:p>
        </w:tc>
        <w:tc>
          <w:tcPr>
            <w:tcW w:type="dxa" w:w="5112"/>
          </w:tcPr>
          <w:p>
            <w:r>
              <w:t>Base travel allowance / included zone</w:t>
            </w:r>
          </w:p>
        </w:tc>
      </w:tr>
      <w:tr>
        <w:tc>
          <w:tcPr>
            <w:tcW w:type="dxa" w:w="5112"/>
          </w:tcPr>
          <w:p>
            <w:r>
              <w:t>Nearby area</w:t>
            </w:r>
          </w:p>
        </w:tc>
        <w:tc>
          <w:tcPr>
            <w:tcW w:type="dxa" w:w="5112"/>
          </w:tcPr>
          <w:p>
            <w:r>
              <w:t>Travel supplement where material</w:t>
            </w:r>
          </w:p>
        </w:tc>
      </w:tr>
      <w:tr>
        <w:tc>
          <w:tcPr>
            <w:tcW w:type="dxa" w:w="5112"/>
          </w:tcPr>
          <w:p>
            <w:r>
              <w:t>Distant location</w:t>
            </w:r>
          </w:p>
        </w:tc>
        <w:tc>
          <w:tcPr>
            <w:tcW w:type="dxa" w:w="5112"/>
          </w:tcPr>
          <w:p>
            <w:r>
              <w:t>Explicit travel/logistics supplement</w:t>
            </w:r>
          </w:p>
        </w:tc>
      </w:tr>
      <w:tr>
        <w:tc>
          <w:tcPr>
            <w:tcW w:type="dxa" w:w="5112"/>
          </w:tcPr>
          <w:p>
            <w:r>
              <w:t>Inter-city</w:t>
            </w:r>
          </w:p>
        </w:tc>
        <w:tc>
          <w:tcPr>
            <w:tcW w:type="dxa" w:w="5112"/>
          </w:tcPr>
          <w:p>
            <w:r>
              <w:t>Quote separately</w:t>
            </w:r>
          </w:p>
        </w:tc>
      </w:tr>
      <w:tr>
        <w:tc>
          <w:tcPr>
            <w:tcW w:type="dxa" w:w="5112"/>
          </w:tcPr>
          <w:p>
            <w:r>
              <w:t>Special access/logistics</w:t>
            </w:r>
          </w:p>
        </w:tc>
        <w:tc>
          <w:tcPr>
            <w:tcW w:type="dxa" w:w="5112"/>
          </w:tcPr>
          <w:p>
            <w:r>
              <w:t>Quote separately with customer approval</w:t>
            </w:r>
          </w:p>
        </w:tc>
      </w:tr>
    </w:tbl>
    <w:p>
      <w:r>
        <w:rPr>
          <w:b w:val="0"/>
        </w:rPr>
        <w:t>Material travel or third-party costs should be visible to the customer.</w:t>
      </w:r>
    </w:p>
    <w:p>
      <w:pPr>
        <w:pStyle w:val="Heading1"/>
      </w:pPr>
      <w:r>
        <w:t>12. Complexity Bands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Band</w:t>
            </w:r>
          </w:p>
        </w:tc>
        <w:tc>
          <w:tcPr>
            <w:tcW w:type="dxa" w:w="3408"/>
          </w:tcPr>
          <w:p>
            <w:r>
              <w:t>Characteristics</w:t>
            </w:r>
          </w:p>
        </w:tc>
        <w:tc>
          <w:tcPr>
            <w:tcW w:type="dxa" w:w="3408"/>
          </w:tcPr>
          <w:p>
            <w:r>
              <w:t>Pricing Direction</w:t>
            </w:r>
          </w:p>
        </w:tc>
      </w:tr>
      <w:tr>
        <w:tc>
          <w:tcPr>
            <w:tcW w:type="dxa" w:w="3408"/>
          </w:tcPr>
          <w:p>
            <w:r>
              <w:t>Low</w:t>
            </w:r>
          </w:p>
        </w:tc>
        <w:tc>
          <w:tcPr>
            <w:tcW w:type="dxa" w:w="3408"/>
          </w:tcPr>
          <w:p>
            <w:r>
              <w:t>Simple, defined, short visit, standard evidence</w:t>
            </w:r>
          </w:p>
        </w:tc>
        <w:tc>
          <w:tcPr>
            <w:tcW w:type="dxa" w:w="3408"/>
          </w:tcPr>
          <w:p>
            <w:r>
              <w:t>Base fee</w:t>
            </w:r>
          </w:p>
        </w:tc>
      </w:tr>
      <w:tr>
        <w:tc>
          <w:tcPr>
            <w:tcW w:type="dxa" w:w="3408"/>
          </w:tcPr>
          <w:p>
            <w:r>
              <w:t>Medium</w:t>
            </w:r>
          </w:p>
        </w:tc>
        <w:tc>
          <w:tcPr>
            <w:tcW w:type="dxa" w:w="3408"/>
          </w:tcPr>
          <w:p>
            <w:r>
              <w:t>More questions/evidence, moderate coordination/travel</w:t>
            </w:r>
          </w:p>
        </w:tc>
        <w:tc>
          <w:tcPr>
            <w:tcW w:type="dxa" w:w="3408"/>
          </w:tcPr>
          <w:p>
            <w:r>
              <w:t>Base + complexity</w:t>
            </w:r>
          </w:p>
        </w:tc>
      </w:tr>
      <w:tr>
        <w:tc>
          <w:tcPr>
            <w:tcW w:type="dxa" w:w="3408"/>
          </w:tcPr>
          <w:p>
            <w:r>
              <w:t>High</w:t>
            </w:r>
          </w:p>
        </w:tc>
        <w:tc>
          <w:tcPr>
            <w:tcW w:type="dxa" w:w="3408"/>
          </w:tcPr>
          <w:p>
            <w:r>
              <w:t>Multiple parties, significant coordination, higher risk or extended execution</w:t>
            </w:r>
          </w:p>
        </w:tc>
        <w:tc>
          <w:tcPr>
            <w:tcW w:type="dxa" w:w="3408"/>
          </w:tcPr>
          <w:p>
            <w:r>
              <w:t>Custom quote / Operations approval</w:t>
            </w:r>
          </w:p>
        </w:tc>
      </w:tr>
    </w:tbl>
    <w:p>
      <w:pPr>
        <w:pStyle w:val="Heading1"/>
      </w:pPr>
      <w:r>
        <w:t>13. Evidence &amp; Reporting Tiers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Tier</w:t>
            </w:r>
          </w:p>
        </w:tc>
        <w:tc>
          <w:tcPr>
            <w:tcW w:type="dxa" w:w="3408"/>
          </w:tcPr>
          <w:p>
            <w:r>
              <w:t>Deliverable</w:t>
            </w:r>
          </w:p>
        </w:tc>
        <w:tc>
          <w:tcPr>
            <w:tcW w:type="dxa" w:w="3408"/>
          </w:tcPr>
          <w:p>
            <w:r>
              <w:t>Pricing Impact</w:t>
            </w:r>
          </w:p>
        </w:tc>
      </w:tr>
      <w:tr>
        <w:tc>
          <w:tcPr>
            <w:tcW w:type="dxa" w:w="3408"/>
          </w:tcPr>
          <w:p>
            <w:r>
              <w:t>Standard</w:t>
            </w:r>
          </w:p>
        </w:tc>
        <w:tc>
          <w:tcPr>
            <w:tcW w:type="dxa" w:w="3408"/>
          </w:tcPr>
          <w:p>
            <w:r>
              <w:t>Checklist + photos + concise findings</w:t>
            </w:r>
          </w:p>
        </w:tc>
        <w:tc>
          <w:tcPr>
            <w:tcW w:type="dxa" w:w="3408"/>
          </w:tcPr>
          <w:p>
            <w:r>
              <w:t>Included where applicable</w:t>
            </w:r>
          </w:p>
        </w:tc>
      </w:tr>
      <w:tr>
        <w:tc>
          <w:tcPr>
            <w:tcW w:type="dxa" w:w="3408"/>
          </w:tcPr>
          <w:p>
            <w:r>
              <w:t>Enhanced</w:t>
            </w:r>
          </w:p>
        </w:tc>
        <w:tc>
          <w:tcPr>
            <w:tcW w:type="dxa" w:w="3408"/>
          </w:tcPr>
          <w:p>
            <w:r>
              <w:t>More detailed evidence, structured report, additional documentation</w:t>
            </w:r>
          </w:p>
        </w:tc>
        <w:tc>
          <w:tcPr>
            <w:tcW w:type="dxa" w:w="3408"/>
          </w:tcPr>
          <w:p>
            <w:r>
              <w:t>Supplement</w:t>
            </w:r>
          </w:p>
        </w:tc>
      </w:tr>
      <w:tr>
        <w:tc>
          <w:tcPr>
            <w:tcW w:type="dxa" w:w="3408"/>
          </w:tcPr>
          <w:p>
            <w:r>
              <w:t>Complex</w:t>
            </w:r>
          </w:p>
        </w:tc>
        <w:tc>
          <w:tcPr>
            <w:tcW w:type="dxa" w:w="3408"/>
          </w:tcPr>
          <w:p>
            <w:r>
              <w:t>Multiple evidence types, extensive documentation or specialist coordination</w:t>
            </w:r>
          </w:p>
        </w:tc>
        <w:tc>
          <w:tcPr>
            <w:tcW w:type="dxa" w:w="3408"/>
          </w:tcPr>
          <w:p>
            <w:r>
              <w:t>Custom quote</w:t>
            </w:r>
          </w:p>
        </w:tc>
      </w:tr>
    </w:tbl>
    <w:p>
      <w:pPr>
        <w:pStyle w:val="Heading1"/>
      </w:pPr>
      <w:r>
        <w:t>14. Urgency</w:t>
      </w:r>
    </w:p>
    <w:tbl>
      <w:tblPr>
        <w:tblStyle w:val="TableGrid"/>
        <w:tblW w:type="auto" w:w="0"/>
        <w:jc w:val="center"/>
        <w:tblLook w:firstColumn="1" w:firstRow="1" w:lastColumn="0" w:lastRow="0" w:noHBand="0" w:noVBand="1" w:val="04A0"/>
      </w:tblPr>
      <w:tblGrid>
        <w:gridCol w:w="5112"/>
        <w:gridCol w:w="5112"/>
      </w:tblGrid>
      <w:tr>
        <w:tc>
          <w:tcPr>
            <w:tcW w:type="dxa" w:w="5112"/>
          </w:tcPr>
          <w:p>
            <w:r>
              <w:t>Urgency</w:t>
            </w:r>
          </w:p>
        </w:tc>
        <w:tc>
          <w:tcPr>
            <w:tcW w:type="dxa" w:w="5112"/>
          </w:tcPr>
          <w:p>
            <w:r>
              <w:t>Rule</w:t>
            </w:r>
          </w:p>
        </w:tc>
      </w:tr>
      <w:tr>
        <w:tc>
          <w:tcPr>
            <w:tcW w:type="dxa" w:w="5112"/>
          </w:tcPr>
          <w:p>
            <w:r>
              <w:t>Standard</w:t>
            </w:r>
          </w:p>
        </w:tc>
        <w:tc>
          <w:tcPr>
            <w:tcW w:type="dxa" w:w="5112"/>
          </w:tcPr>
          <w:p>
            <w:r>
              <w:t>Normal SLA; standard price</w:t>
            </w:r>
          </w:p>
        </w:tc>
      </w:tr>
      <w:tr>
        <w:tc>
          <w:tcPr>
            <w:tcW w:type="dxa" w:w="5112"/>
          </w:tcPr>
          <w:p>
            <w:r>
              <w:t>Priority</w:t>
            </w:r>
          </w:p>
        </w:tc>
        <w:tc>
          <w:tcPr>
            <w:tcW w:type="dxa" w:w="5112"/>
          </w:tcPr>
          <w:p>
            <w:r>
              <w:t>Faster execution where capacity allows; possible premium</w:t>
            </w:r>
          </w:p>
        </w:tc>
      </w:tr>
      <w:tr>
        <w:tc>
          <w:tcPr>
            <w:tcW w:type="dxa" w:w="5112"/>
          </w:tcPr>
          <w:p>
            <w:r>
              <w:t>Expedited</w:t>
            </w:r>
          </w:p>
        </w:tc>
        <w:tc>
          <w:tcPr>
            <w:tcW w:type="dxa" w:w="5112"/>
          </w:tcPr>
          <w:p>
            <w:r>
              <w:t>Operations confirmation and explicit premium where justified</w:t>
            </w:r>
          </w:p>
        </w:tc>
      </w:tr>
      <w:tr>
        <w:tc>
          <w:tcPr>
            <w:tcW w:type="dxa" w:w="5112"/>
          </w:tcPr>
          <w:p>
            <w:r>
              <w:t>Emergency / unsafe</w:t>
            </w:r>
          </w:p>
        </w:tc>
        <w:tc>
          <w:tcPr>
            <w:tcW w:type="dxa" w:w="5112"/>
          </w:tcPr>
          <w:p>
            <w:r>
              <w:t>Not automatically accepted; safety and scope assessment first</w:t>
            </w:r>
          </w:p>
        </w:tc>
      </w:tr>
    </w:tbl>
    <w:p>
      <w:pPr>
        <w:pStyle w:val="Heading1"/>
      </w:pPr>
      <w:r>
        <w:t>15. Third-Party Costs</w:t>
      </w:r>
    </w:p>
    <w:p>
      <w:r>
        <w:rPr>
          <w:b w:val="0"/>
        </w:rPr>
        <w:t>Third-party costs should be separately identified whenever practical.</w:t>
      </w:r>
    </w:p>
    <w:p>
      <w:pPr>
        <w:pStyle w:val="ListBullet"/>
      </w:pPr>
      <w:r>
        <w:t>Specialist professional fees</w:t>
      </w:r>
    </w:p>
    <w:p>
      <w:pPr>
        <w:pStyle w:val="ListBullet"/>
      </w:pPr>
      <w:r>
        <w:t>Official fees</w:t>
      </w:r>
    </w:p>
    <w:p>
      <w:pPr>
        <w:pStyle w:val="ListBullet"/>
      </w:pPr>
      <w:r>
        <w:t>Transport/logistics</w:t>
      </w:r>
    </w:p>
    <w:p>
      <w:pPr>
        <w:pStyle w:val="ListBullet"/>
      </w:pPr>
      <w:r>
        <w:t>Access fees</w:t>
      </w:r>
    </w:p>
    <w:p>
      <w:pPr>
        <w:pStyle w:val="ListBullet"/>
      </w:pPr>
      <w:r>
        <w:t>Required materials</w:t>
      </w:r>
    </w:p>
    <w:p>
      <w:pPr>
        <w:pStyle w:val="ListBullet"/>
      </w:pPr>
      <w:r>
        <w:t>Other external costs authorized by the customer</w:t>
      </w:r>
    </w:p>
    <w:p>
      <w:r>
        <w:rPr>
          <w:b w:val="0"/>
        </w:rPr>
        <w:t>ASOJU should not silently conceal third-party costs. Any commercial margin or coordination fee should be explicit where applicable.</w:t>
      </w:r>
    </w:p>
    <w:p>
      <w:pPr>
        <w:pStyle w:val="Heading1"/>
      </w:pPr>
      <w:r>
        <w:t>16. Custom Work</w:t>
      </w:r>
    </w:p>
    <w:p>
      <w:r>
        <w:rPr>
          <w:b w:val="0"/>
        </w:rPr>
        <w:t>Custom requests should be scoped rather than automatically rejected.</w:t>
      </w:r>
    </w:p>
    <w:p>
      <w:r>
        <w:rPr>
          <w:b/>
        </w:rPr>
        <w:t>CUSTOM REQUEST → CONCIERGE → OPERATIONS ASSESSMENT → SCOPE → RISK CHECK → QUOTE → CUSTOMER APPROVAL</w:t>
      </w:r>
    </w:p>
    <w:p>
      <w:r>
        <w:rPr>
          <w:b w:val="0"/>
        </w:rPr>
        <w:t>Unsafe, unlawful, regulated, specialist or clearly out-of-capability requests should be escalated or declined.</w:t>
      </w:r>
    </w:p>
    <w:p>
      <w:pPr>
        <w:pStyle w:val="Heading1"/>
      </w:pPr>
      <w:r>
        <w:t>17. Pricing Decision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Question</w:t>
            </w:r>
          </w:p>
        </w:tc>
        <w:tc>
          <w:tcPr>
            <w:tcW w:type="dxa" w:w="3408"/>
          </w:tcPr>
          <w:p>
            <w:r>
              <w:t>If YES</w:t>
            </w:r>
          </w:p>
        </w:tc>
        <w:tc>
          <w:tcPr>
            <w:tcW w:type="dxa" w:w="3408"/>
          </w:tcPr>
          <w:p>
            <w:r>
              <w:t>If NO</w:t>
            </w:r>
          </w:p>
        </w:tc>
      </w:tr>
      <w:tr>
        <w:tc>
          <w:tcPr>
            <w:tcW w:type="dxa" w:w="3408"/>
          </w:tcPr>
          <w:p>
            <w:r>
              <w:t>Already standardized?</w:t>
            </w:r>
          </w:p>
        </w:tc>
        <w:tc>
          <w:tcPr>
            <w:tcW w:type="dxa" w:w="3408"/>
          </w:tcPr>
          <w:p>
            <w:r>
              <w:t>Use approved service framework.</w:t>
            </w:r>
          </w:p>
        </w:tc>
        <w:tc>
          <w:tcPr>
            <w:tcW w:type="dxa" w:w="3408"/>
          </w:tcPr>
          <w:p>
            <w:r>
              <w:t>Custom scope assessment.</w:t>
            </w:r>
          </w:p>
        </w:tc>
      </w:tr>
      <w:tr>
        <w:tc>
          <w:tcPr>
            <w:tcW w:type="dxa" w:w="3408"/>
          </w:tcPr>
          <w:p>
            <w:r>
              <w:t>Within standard service zone?</w:t>
            </w:r>
          </w:p>
        </w:tc>
        <w:tc>
          <w:tcPr>
            <w:tcW w:type="dxa" w:w="3408"/>
          </w:tcPr>
          <w:p>
            <w:r>
              <w:t>Use standard location treatment.</w:t>
            </w:r>
          </w:p>
        </w:tc>
        <w:tc>
          <w:tcPr>
            <w:tcW w:type="dxa" w:w="3408"/>
          </w:tcPr>
          <w:p>
            <w:r>
              <w:t>Add approved travel/logistics treatment.</w:t>
            </w:r>
          </w:p>
        </w:tc>
      </w:tr>
      <w:tr>
        <w:tc>
          <w:tcPr>
            <w:tcW w:type="dxa" w:w="3408"/>
          </w:tcPr>
          <w:p>
            <w:r>
              <w:t>Low complexity?</w:t>
            </w:r>
          </w:p>
        </w:tc>
        <w:tc>
          <w:tcPr>
            <w:tcW w:type="dxa" w:w="3408"/>
          </w:tcPr>
          <w:p>
            <w:r>
              <w:t>Base pricing.</w:t>
            </w:r>
          </w:p>
        </w:tc>
        <w:tc>
          <w:tcPr>
            <w:tcW w:type="dxa" w:w="3408"/>
          </w:tcPr>
          <w:p>
            <w:r>
              <w:t>Add complexity/custom pricing.</w:t>
            </w:r>
          </w:p>
        </w:tc>
      </w:tr>
      <w:tr>
        <w:tc>
          <w:tcPr>
            <w:tcW w:type="dxa" w:w="3408"/>
          </w:tcPr>
          <w:p>
            <w:r>
              <w:t>Standard evidence?</w:t>
            </w:r>
          </w:p>
        </w:tc>
        <w:tc>
          <w:tcPr>
            <w:tcW w:type="dxa" w:w="3408"/>
          </w:tcPr>
          <w:p>
            <w:r>
              <w:t>Standard deliverable.</w:t>
            </w:r>
          </w:p>
        </w:tc>
        <w:tc>
          <w:tcPr>
            <w:tcW w:type="dxa" w:w="3408"/>
          </w:tcPr>
          <w:p>
            <w:r>
              <w:t>Enhanced/complex evidence pricing.</w:t>
            </w:r>
          </w:p>
        </w:tc>
      </w:tr>
      <w:tr>
        <w:tc>
          <w:tcPr>
            <w:tcW w:type="dxa" w:w="3408"/>
          </w:tcPr>
          <w:p>
            <w:r>
              <w:t>Material urgency?</w:t>
            </w:r>
          </w:p>
        </w:tc>
        <w:tc>
          <w:tcPr>
            <w:tcW w:type="dxa" w:w="3408"/>
          </w:tcPr>
          <w:p>
            <w:r>
              <w:t>Apply approved priority rule.</w:t>
            </w:r>
          </w:p>
        </w:tc>
        <w:tc>
          <w:tcPr>
            <w:tcW w:type="dxa" w:w="3408"/>
          </w:tcPr>
          <w:p>
            <w:r>
              <w:t>Standard SLA/pricing.</w:t>
            </w:r>
          </w:p>
        </w:tc>
      </w:tr>
      <w:tr>
        <w:tc>
          <w:tcPr>
            <w:tcW w:type="dxa" w:w="3408"/>
          </w:tcPr>
          <w:p>
            <w:r>
              <w:t>Third-party costs?</w:t>
            </w:r>
          </w:p>
        </w:tc>
        <w:tc>
          <w:tcPr>
            <w:tcW w:type="dxa" w:w="3408"/>
          </w:tcPr>
          <w:p>
            <w:r>
              <w:t>Disclose and approve separately.</w:t>
            </w:r>
          </w:p>
        </w:tc>
        <w:tc>
          <w:tcPr>
            <w:tcW w:type="dxa" w:w="3408"/>
          </w:tcPr>
          <w:p>
            <w:r>
              <w:t>Continue standard quote.</w:t>
            </w:r>
          </w:p>
        </w:tc>
      </w:tr>
      <w:tr>
        <w:tc>
          <w:tcPr>
            <w:tcW w:type="dxa" w:w="3408"/>
          </w:tcPr>
          <w:p>
            <w:r>
              <w:t>Specialist expertise required?</w:t>
            </w:r>
          </w:p>
        </w:tc>
        <w:tc>
          <w:tcPr>
            <w:tcW w:type="dxa" w:w="3408"/>
          </w:tcPr>
          <w:p>
            <w:r>
              <w:t>Escalate to qualified pathway.</w:t>
            </w:r>
          </w:p>
        </w:tc>
        <w:tc>
          <w:tcPr>
            <w:tcW w:type="dxa" w:w="3408"/>
          </w:tcPr>
          <w:p>
            <w:r>
              <w:t>Continue within ASOJU scope.</w:t>
            </w:r>
          </w:p>
        </w:tc>
      </w:tr>
    </w:tbl>
    <w:p>
      <w:pPr>
        <w:pStyle w:val="Heading1"/>
      </w:pPr>
      <w:r>
        <w:t>18. Quote Approval Authority</w:t>
      </w:r>
    </w:p>
    <w:tbl>
      <w:tblPr>
        <w:tblStyle w:val="TableGrid"/>
        <w:tblW w:type="auto" w:w="0"/>
        <w:jc w:val="center"/>
        <w:tblLook w:firstColumn="1" w:firstRow="1" w:lastColumn="0" w:lastRow="0" w:noHBand="0" w:noVBand="1" w:val="04A0"/>
      </w:tblPr>
      <w:tblGrid>
        <w:gridCol w:w="5112"/>
        <w:gridCol w:w="5112"/>
      </w:tblGrid>
      <w:tr>
        <w:tc>
          <w:tcPr>
            <w:tcW w:type="dxa" w:w="5112"/>
          </w:tcPr>
          <w:p>
            <w:r>
              <w:t>Situation</w:t>
            </w:r>
          </w:p>
        </w:tc>
        <w:tc>
          <w:tcPr>
            <w:tcW w:type="dxa" w:w="5112"/>
          </w:tcPr>
          <w:p>
            <w:r>
              <w:t>Authority</w:t>
            </w:r>
          </w:p>
        </w:tc>
      </w:tr>
      <w:tr>
        <w:tc>
          <w:tcPr>
            <w:tcW w:type="dxa" w:w="5112"/>
          </w:tcPr>
          <w:p>
            <w:r>
              <w:t>Standard catalogue service</w:t>
            </w:r>
          </w:p>
        </w:tc>
        <w:tc>
          <w:tcPr>
            <w:tcW w:type="dxa" w:w="5112"/>
          </w:tcPr>
          <w:p>
            <w:r>
              <w:t>Approved price band — Concierge/Operations</w:t>
            </w:r>
          </w:p>
        </w:tc>
      </w:tr>
      <w:tr>
        <w:tc>
          <w:tcPr>
            <w:tcW w:type="dxa" w:w="5112"/>
          </w:tcPr>
          <w:p>
            <w:r>
              <w:t>Minor travel supplement</w:t>
            </w:r>
          </w:p>
        </w:tc>
        <w:tc>
          <w:tcPr>
            <w:tcW w:type="dxa" w:w="5112"/>
          </w:tcPr>
          <w:p>
            <w:r>
              <w:t>Within policy — Operations</w:t>
            </w:r>
          </w:p>
        </w:tc>
      </w:tr>
      <w:tr>
        <w:tc>
          <w:tcPr>
            <w:tcW w:type="dxa" w:w="5112"/>
          </w:tcPr>
          <w:p>
            <w:r>
              <w:t>Custom scope</w:t>
            </w:r>
          </w:p>
        </w:tc>
        <w:tc>
          <w:tcPr>
            <w:tcW w:type="dxa" w:w="5112"/>
          </w:tcPr>
          <w:p>
            <w:r>
              <w:t>Operations approval</w:t>
            </w:r>
          </w:p>
        </w:tc>
      </w:tr>
      <w:tr>
        <w:tc>
          <w:tcPr>
            <w:tcW w:type="dxa" w:w="5112"/>
          </w:tcPr>
          <w:p>
            <w:r>
              <w:t>High-value / high-risk case</w:t>
            </w:r>
          </w:p>
        </w:tc>
        <w:tc>
          <w:tcPr>
            <w:tcW w:type="dxa" w:w="5112"/>
          </w:tcPr>
          <w:p>
            <w:r>
              <w:t>Senior management approval</w:t>
            </w:r>
          </w:p>
        </w:tc>
      </w:tr>
      <w:tr>
        <w:tc>
          <w:tcPr>
            <w:tcW w:type="dxa" w:w="5112"/>
          </w:tcPr>
          <w:p>
            <w:r>
              <w:t>Large discount</w:t>
            </w:r>
          </w:p>
        </w:tc>
        <w:tc>
          <w:tcPr>
            <w:tcW w:type="dxa" w:w="5112"/>
          </w:tcPr>
          <w:p>
            <w:r>
              <w:t>Management approval</w:t>
            </w:r>
          </w:p>
        </w:tc>
      </w:tr>
      <w:tr>
        <w:tc>
          <w:tcPr>
            <w:tcW w:type="dxa" w:w="5112"/>
          </w:tcPr>
          <w:p>
            <w:r>
              <w:t>Specialist/regulated matter</w:t>
            </w:r>
          </w:p>
        </w:tc>
        <w:tc>
          <w:tcPr>
            <w:tcW w:type="dxa" w:w="5112"/>
          </w:tcPr>
          <w:p>
            <w:r>
              <w:t>Qualified pathway + management approval</w:t>
            </w:r>
          </w:p>
        </w:tc>
      </w:tr>
    </w:tbl>
    <w:p>
      <w:pPr>
        <w:pStyle w:val="Heading1"/>
      </w:pPr>
      <w:r>
        <w:t>19. Discount Rules</w:t>
      </w:r>
    </w:p>
    <w:p>
      <w:r>
        <w:rPr>
          <w:b w:val="0"/>
        </w:rPr>
        <w:t>P0 should avoid uncontrolled discounting.</w:t>
      </w:r>
    </w:p>
    <w:p>
      <w:pPr>
        <w:pStyle w:val="ListBullet"/>
      </w:pPr>
      <w:r>
        <w:t>Clearly defined volume/recurring commitment</w:t>
      </w:r>
    </w:p>
    <w:p>
      <w:pPr>
        <w:pStyle w:val="ListBullet"/>
      </w:pPr>
      <w:r>
        <w:t>Strategic pilot partnerships</w:t>
      </w:r>
    </w:p>
    <w:p>
      <w:pPr>
        <w:pStyle w:val="ListBullet"/>
      </w:pPr>
      <w:r>
        <w:t>Bundled services with lower delivery cost</w:t>
      </w:r>
    </w:p>
    <w:p>
      <w:pPr>
        <w:pStyle w:val="ListBullet"/>
      </w:pPr>
      <w:r>
        <w:t>Approved acquisition experiments</w:t>
      </w:r>
    </w:p>
    <w:p>
      <w:r>
        <w:rPr>
          <w:b w:val="0"/>
        </w:rPr>
        <w:t>Every discount should have a recorded reason.</w:t>
      </w:r>
    </w:p>
    <w:p>
      <w:pPr>
        <w:pStyle w:val="Heading1"/>
      </w:pPr>
      <w:r>
        <w:t>20. Refund / Cancellation Principles</w:t>
      </w:r>
    </w:p>
    <w:p>
      <w:r>
        <w:rPr>
          <w:b w:val="0"/>
        </w:rPr>
        <w:t>Exact legal terms should be finalized for ASOJU's operating jurisdiction and customer contracts. Operationally:</w:t>
      </w:r>
    </w:p>
    <w:p>
      <w:pPr>
        <w:pStyle w:val="ListBullet"/>
      </w:pPr>
      <w:r>
        <w:t>Before execution: assess committed costs and refund position</w:t>
      </w:r>
    </w:p>
    <w:p>
      <w:pPr>
        <w:pStyle w:val="ListBullet"/>
      </w:pPr>
      <w:r>
        <w:t>After fieldwork: distinguish service fee from incurred costs</w:t>
      </w:r>
    </w:p>
    <w:p>
      <w:pPr>
        <w:pStyle w:val="ListBullet"/>
      </w:pPr>
      <w:r>
        <w:t>If ASOJU materially fails to deliver: management review and remediation/refund decision</w:t>
      </w:r>
    </w:p>
    <w:p>
      <w:pPr>
        <w:pStyle w:val="ListBullet"/>
      </w:pPr>
      <w:r>
        <w:t>Customer scope change: re-quote where appropriate</w:t>
      </w:r>
    </w:p>
    <w:p>
      <w:pPr>
        <w:pStyle w:val="ListBullet"/>
      </w:pPr>
      <w:r>
        <w:t>Never promise a refund before reviewing the case and applicable terms</w:t>
      </w:r>
    </w:p>
    <w:p>
      <w:pPr>
        <w:pStyle w:val="Heading1"/>
      </w:pPr>
      <w:r>
        <w:t>21. Minimum Quote Content</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Required</w:t>
            </w:r>
          </w:p>
        </w:tc>
      </w:tr>
      <w:tr>
        <w:tc>
          <w:tcPr>
            <w:tcW w:type="dxa" w:w="5112"/>
          </w:tcPr>
          <w:p>
            <w:r>
              <w:t>Case ID</w:t>
            </w:r>
          </w:p>
        </w:tc>
        <w:tc>
          <w:tcPr>
            <w:tcW w:type="dxa" w:w="5112"/>
          </w:tcPr>
          <w:p>
            <w:r>
              <w:t>Yes</w:t>
            </w:r>
          </w:p>
        </w:tc>
      </w:tr>
      <w:tr>
        <w:tc>
          <w:tcPr>
            <w:tcW w:type="dxa" w:w="5112"/>
          </w:tcPr>
          <w:p>
            <w:r>
              <w:t>Customer objective</w:t>
            </w:r>
          </w:p>
        </w:tc>
        <w:tc>
          <w:tcPr>
            <w:tcW w:type="dxa" w:w="5112"/>
          </w:tcPr>
          <w:p>
            <w:r>
              <w:t>Yes</w:t>
            </w:r>
          </w:p>
        </w:tc>
      </w:tr>
      <w:tr>
        <w:tc>
          <w:tcPr>
            <w:tcW w:type="dxa" w:w="5112"/>
          </w:tcPr>
          <w:p>
            <w:r>
              <w:t>Included scope</w:t>
            </w:r>
          </w:p>
        </w:tc>
        <w:tc>
          <w:tcPr>
            <w:tcW w:type="dxa" w:w="5112"/>
          </w:tcPr>
          <w:p>
            <w:r>
              <w:t>Yes</w:t>
            </w:r>
          </w:p>
        </w:tc>
      </w:tr>
      <w:tr>
        <w:tc>
          <w:tcPr>
            <w:tcW w:type="dxa" w:w="5112"/>
          </w:tcPr>
          <w:p>
            <w:r>
              <w:t>Exclusions</w:t>
            </w:r>
          </w:p>
        </w:tc>
        <w:tc>
          <w:tcPr>
            <w:tcW w:type="dxa" w:w="5112"/>
          </w:tcPr>
          <w:p>
            <w:r>
              <w:t>Yes</w:t>
            </w:r>
          </w:p>
        </w:tc>
      </w:tr>
      <w:tr>
        <w:tc>
          <w:tcPr>
            <w:tcW w:type="dxa" w:w="5112"/>
          </w:tcPr>
          <w:p>
            <w:r>
              <w:t>Timeline/SLA</w:t>
            </w:r>
          </w:p>
        </w:tc>
        <w:tc>
          <w:tcPr>
            <w:tcW w:type="dxa" w:w="5112"/>
          </w:tcPr>
          <w:p>
            <w:r>
              <w:t>Yes</w:t>
            </w:r>
          </w:p>
        </w:tc>
      </w:tr>
      <w:tr>
        <w:tc>
          <w:tcPr>
            <w:tcW w:type="dxa" w:w="5112"/>
          </w:tcPr>
          <w:p>
            <w:r>
              <w:t>ASOJU fee</w:t>
            </w:r>
          </w:p>
        </w:tc>
        <w:tc>
          <w:tcPr>
            <w:tcW w:type="dxa" w:w="5112"/>
          </w:tcPr>
          <w:p>
            <w:r>
              <w:t>Yes</w:t>
            </w:r>
          </w:p>
        </w:tc>
      </w:tr>
      <w:tr>
        <w:tc>
          <w:tcPr>
            <w:tcW w:type="dxa" w:w="5112"/>
          </w:tcPr>
          <w:p>
            <w:r>
              <w:t>Third-party costs</w:t>
            </w:r>
          </w:p>
        </w:tc>
        <w:tc>
          <w:tcPr>
            <w:tcW w:type="dxa" w:w="5112"/>
          </w:tcPr>
          <w:p>
            <w:r>
              <w:t>If applicable</w:t>
            </w:r>
          </w:p>
        </w:tc>
      </w:tr>
      <w:tr>
        <w:tc>
          <w:tcPr>
            <w:tcW w:type="dxa" w:w="5112"/>
          </w:tcPr>
          <w:p>
            <w:r>
              <w:t>Urgency premium</w:t>
            </w:r>
          </w:p>
        </w:tc>
        <w:tc>
          <w:tcPr>
            <w:tcW w:type="dxa" w:w="5112"/>
          </w:tcPr>
          <w:p>
            <w:r>
              <w:t>If applicable</w:t>
            </w:r>
          </w:p>
        </w:tc>
      </w:tr>
      <w:tr>
        <w:tc>
          <w:tcPr>
            <w:tcW w:type="dxa" w:w="5112"/>
          </w:tcPr>
          <w:p>
            <w:r>
              <w:t>Deliverable</w:t>
            </w:r>
          </w:p>
        </w:tc>
        <w:tc>
          <w:tcPr>
            <w:tcW w:type="dxa" w:w="5112"/>
          </w:tcPr>
          <w:p>
            <w:r>
              <w:t>Yes</w:t>
            </w:r>
          </w:p>
        </w:tc>
      </w:tr>
      <w:tr>
        <w:tc>
          <w:tcPr>
            <w:tcW w:type="dxa" w:w="5112"/>
          </w:tcPr>
          <w:p>
            <w:r>
              <w:t>Payment terms</w:t>
            </w:r>
          </w:p>
        </w:tc>
        <w:tc>
          <w:tcPr>
            <w:tcW w:type="dxa" w:w="5112"/>
          </w:tcPr>
          <w:p>
            <w:r>
              <w:t>Yes</w:t>
            </w:r>
          </w:p>
        </w:tc>
      </w:tr>
      <w:tr>
        <w:tc>
          <w:tcPr>
            <w:tcW w:type="dxa" w:w="5112"/>
          </w:tcPr>
          <w:p>
            <w:r>
              <w:t>Quote validity</w:t>
            </w:r>
          </w:p>
        </w:tc>
        <w:tc>
          <w:tcPr>
            <w:tcW w:type="dxa" w:w="5112"/>
          </w:tcPr>
          <w:p>
            <w:r>
              <w:t>Yes</w:t>
            </w:r>
          </w:p>
        </w:tc>
      </w:tr>
      <w:tr>
        <w:tc>
          <w:tcPr>
            <w:tcW w:type="dxa" w:w="5112"/>
          </w:tcPr>
          <w:p>
            <w:r>
              <w:t>Cancellation/change terms</w:t>
            </w:r>
          </w:p>
        </w:tc>
        <w:tc>
          <w:tcPr>
            <w:tcW w:type="dxa" w:w="5112"/>
          </w:tcPr>
          <w:p>
            <w:r>
              <w:t>Yes</w:t>
            </w:r>
          </w:p>
        </w:tc>
      </w:tr>
    </w:tbl>
    <w:p>
      <w:pPr>
        <w:pStyle w:val="Heading1"/>
      </w:pPr>
      <w:r>
        <w:t>22. Customer-Facing Catalogue</w:t>
      </w:r>
    </w:p>
    <w:p>
      <w:pPr>
        <w:pStyle w:val="Heading2"/>
      </w:pPr>
      <w:r>
        <w:t>ASOJU Verify</w:t>
      </w:r>
    </w:p>
    <w:p>
      <w:r>
        <w:rPr>
          <w:b w:val="0"/>
        </w:rPr>
        <w:t>Know what is actually happening on the ground.</w:t>
      </w:r>
    </w:p>
    <w:p>
      <w:r>
        <w:rPr>
          <w:b w:val="0"/>
        </w:rPr>
        <w:t>Property checks, project verification, asset condition checks and other defined on-ground verification. Deliverable: agreed inspection + evidence + findings + report.</w:t>
      </w:r>
    </w:p>
    <w:p>
      <w:pPr>
        <w:pStyle w:val="Heading2"/>
      </w:pPr>
      <w:r>
        <w:t>ASOJU Projects</w:t>
      </w:r>
    </w:p>
    <w:p>
      <w:r>
        <w:rPr>
          <w:b w:val="0"/>
        </w:rPr>
        <w:t>Stay informed about the progress of what you're building.</w:t>
      </w:r>
    </w:p>
    <w:p>
      <w:r>
        <w:rPr>
          <w:b w:val="0"/>
        </w:rPr>
        <w:t>Construction/project visits, milestone checks and recurring project monitoring.</w:t>
      </w:r>
    </w:p>
    <w:p>
      <w:pPr>
        <w:pStyle w:val="Heading2"/>
      </w:pPr>
      <w:r>
        <w:t>ASOJU Assets</w:t>
      </w:r>
    </w:p>
    <w:p>
      <w:r>
        <w:rPr>
          <w:b w:val="0"/>
        </w:rPr>
        <w:t>Keep an eye on what you own, even when you're far away.</w:t>
      </w:r>
    </w:p>
    <w:p>
      <w:r>
        <w:rPr>
          <w:b w:val="0"/>
        </w:rPr>
        <w:t>Scheduled property/asset checks, evidence, condition reporting and exceptions.</w:t>
      </w:r>
    </w:p>
    <w:p>
      <w:pPr>
        <w:pStyle w:val="Heading2"/>
      </w:pPr>
      <w:r>
        <w:t>ASOJU Concierge</w:t>
      </w:r>
    </w:p>
    <w:p>
      <w:r>
        <w:rPr>
          <w:b w:val="0"/>
        </w:rPr>
        <w:t>Tell us what you need handled.</w:t>
      </w:r>
    </w:p>
    <w:p>
      <w:r>
        <w:rPr>
          <w:b w:val="0"/>
        </w:rPr>
        <w:t>Defined tasks that need local coordination or execution.</w:t>
      </w:r>
    </w:p>
    <w:p>
      <w:pPr>
        <w:pStyle w:val="Heading2"/>
      </w:pPr>
      <w:r>
        <w:t>ASOJU Business</w:t>
      </w:r>
    </w:p>
    <w:p>
      <w:r>
        <w:rPr>
          <w:b w:val="0"/>
        </w:rPr>
        <w:t>A trusted presence on the ground for your business.</w:t>
      </w:r>
    </w:p>
    <w:p>
      <w:r>
        <w:rPr>
          <w:b w:val="0"/>
        </w:rPr>
        <w:t>Site visits, operational observations and recurring business monitoring.</w:t>
      </w:r>
    </w:p>
    <w:p>
      <w:pPr>
        <w:pStyle w:val="Heading1"/>
      </w:pPr>
      <w:r>
        <w:t>23. What ASOJU Does Not Promise</w:t>
      </w:r>
    </w:p>
    <w:p>
      <w:pPr>
        <w:pStyle w:val="ListBullet"/>
      </w:pPr>
      <w:r>
        <w:t>Guaranteed outcomes controlled by third parties</w:t>
      </w:r>
    </w:p>
    <w:p>
      <w:pPr>
        <w:pStyle w:val="ListBullet"/>
      </w:pPr>
      <w:r>
        <w:t>Legal title certification unless through an appropriate qualified process</w:t>
      </w:r>
    </w:p>
    <w:p>
      <w:pPr>
        <w:pStyle w:val="ListBullet"/>
      </w:pPr>
      <w:r>
        <w:t>Engineering certification unless through an appropriate qualified professional</w:t>
      </w:r>
    </w:p>
    <w:p>
      <w:pPr>
        <w:pStyle w:val="ListBullet"/>
      </w:pPr>
      <w:r>
        <w:t>Investment returns</w:t>
      </w:r>
    </w:p>
    <w:p>
      <w:pPr>
        <w:pStyle w:val="ListBullet"/>
      </w:pPr>
      <w:r>
        <w:t>Unbounded personal errands under a fixed fee</w:t>
      </w:r>
    </w:p>
    <w:p>
      <w:pPr>
        <w:pStyle w:val="ListBullet"/>
      </w:pPr>
      <w:r>
        <w:t>Unlimited revisions/additional visits outside scope</w:t>
      </w:r>
    </w:p>
    <w:p>
      <w:pPr>
        <w:pStyle w:val="ListBullet"/>
      </w:pPr>
      <w:r>
        <w:t>Results that cannot reasonably be verified</w:t>
      </w:r>
    </w:p>
    <w:p>
      <w:pPr>
        <w:pStyle w:val="Heading1"/>
      </w:pPr>
      <w:r>
        <w:t>24. Margin Control</w:t>
      </w:r>
    </w:p>
    <w:p>
      <w:r>
        <w:rPr>
          <w:b w:val="0"/>
        </w:rPr>
        <w:t>Every paid case should record quoted value, amount collected, representative/field cost, travel/logistics, third-party cost, other direct costs, contribution and contribution margin.</w:t>
      </w:r>
    </w:p>
    <w:p>
      <w:r>
        <w:rPr>
          <w:b w:val="0"/>
        </w:rPr>
        <w:t>Commercial learning should identify services with attractive contribution after actual delivery costs—not simply services with the highest gross price.</w:t>
      </w:r>
    </w:p>
    <w:p>
      <w:pPr>
        <w:pStyle w:val="Heading1"/>
      </w:pPr>
      <w:r>
        <w:t>25. Pricing Experiments</w:t>
      </w:r>
    </w:p>
    <w:tbl>
      <w:tblPr>
        <w:tblStyle w:val="TableGrid"/>
        <w:tblW w:type="auto" w:w="0"/>
        <w:jc w:val="center"/>
        <w:tblLook w:firstColumn="1" w:firstRow="1" w:lastColumn="0" w:lastRow="0" w:noHBand="0" w:noVBand="1" w:val="04A0"/>
      </w:tblPr>
      <w:tblGrid>
        <w:gridCol w:w="5112"/>
        <w:gridCol w:w="5112"/>
      </w:tblGrid>
      <w:tr>
        <w:tc>
          <w:tcPr>
            <w:tcW w:type="dxa" w:w="5112"/>
          </w:tcPr>
          <w:p>
            <w:r>
              <w:t>Experiment</w:t>
            </w:r>
          </w:p>
        </w:tc>
        <w:tc>
          <w:tcPr>
            <w:tcW w:type="dxa" w:w="5112"/>
          </w:tcPr>
          <w:p>
            <w:r>
              <w:t>Question</w:t>
            </w:r>
          </w:p>
        </w:tc>
      </w:tr>
      <w:tr>
        <w:tc>
          <w:tcPr>
            <w:tcW w:type="dxa" w:w="5112"/>
          </w:tcPr>
          <w:p>
            <w:r>
              <w:t>Entry price</w:t>
            </w:r>
          </w:p>
        </w:tc>
        <w:tc>
          <w:tcPr>
            <w:tcW w:type="dxa" w:w="5112"/>
          </w:tcPr>
          <w:p>
            <w:r>
              <w:t>What price maximizes qualified conversion without damaging trust?</w:t>
            </w:r>
          </w:p>
        </w:tc>
      </w:tr>
      <w:tr>
        <w:tc>
          <w:tcPr>
            <w:tcW w:type="dxa" w:w="5112"/>
          </w:tcPr>
          <w:p>
            <w:r>
              <w:t>Scope tier</w:t>
            </w:r>
          </w:p>
        </w:tc>
        <w:tc>
          <w:tcPr>
            <w:tcW w:type="dxa" w:w="5112"/>
          </w:tcPr>
          <w:p>
            <w:r>
              <w:t>Will customers pay more for enhanced evidence/reporting?</w:t>
            </w:r>
          </w:p>
        </w:tc>
      </w:tr>
      <w:tr>
        <w:tc>
          <w:tcPr>
            <w:tcW w:type="dxa" w:w="5112"/>
          </w:tcPr>
          <w:p>
            <w:r>
              <w:t>Recurring</w:t>
            </w:r>
          </w:p>
        </w:tc>
        <w:tc>
          <w:tcPr>
            <w:tcW w:type="dxa" w:w="5112"/>
          </w:tcPr>
          <w:p>
            <w:r>
              <w:t>What monthly/quarterly monitoring value converts?</w:t>
            </w:r>
          </w:p>
        </w:tc>
      </w:tr>
      <w:tr>
        <w:tc>
          <w:tcPr>
            <w:tcW w:type="dxa" w:w="5112"/>
          </w:tcPr>
          <w:p>
            <w:r>
              <w:t>Urgency</w:t>
            </w:r>
          </w:p>
        </w:tc>
        <w:tc>
          <w:tcPr>
            <w:tcW w:type="dxa" w:w="5112"/>
          </w:tcPr>
          <w:p>
            <w:r>
              <w:t>Will customers pay for priority execution?</w:t>
            </w:r>
          </w:p>
        </w:tc>
      </w:tr>
      <w:tr>
        <w:tc>
          <w:tcPr>
            <w:tcW w:type="dxa" w:w="5112"/>
          </w:tcPr>
          <w:p>
            <w:r>
              <w:t>Bundle</w:t>
            </w:r>
          </w:p>
        </w:tc>
        <w:tc>
          <w:tcPr>
            <w:tcW w:type="dxa" w:w="5112"/>
          </w:tcPr>
          <w:p>
            <w:r>
              <w:t>Does Verify → Monitor improve retention/economics?</w:t>
            </w:r>
          </w:p>
        </w:tc>
      </w:tr>
      <w:tr>
        <w:tc>
          <w:tcPr>
            <w:tcW w:type="dxa" w:w="5112"/>
          </w:tcPr>
          <w:p>
            <w:r>
              <w:t>Geography</w:t>
            </w:r>
          </w:p>
        </w:tc>
        <w:tc>
          <w:tcPr>
            <w:tcW w:type="dxa" w:w="5112"/>
          </w:tcPr>
          <w:p>
            <w:r>
              <w:t>How do economics vary by diaspora market and Nigerian location?</w:t>
            </w:r>
          </w:p>
        </w:tc>
      </w:tr>
    </w:tbl>
    <w:p>
      <w:pPr>
        <w:pStyle w:val="Heading1"/>
      </w:pPr>
      <w:r>
        <w:t>26. Concierge Routing Rules</w:t>
      </w:r>
    </w:p>
    <w:tbl>
      <w:tblPr>
        <w:tblStyle w:val="TableGrid"/>
        <w:tblW w:type="auto" w:w="0"/>
        <w:jc w:val="center"/>
        <w:tblLook w:firstColumn="1" w:firstRow="1" w:lastColumn="0" w:lastRow="0" w:noHBand="0" w:noVBand="1" w:val="04A0"/>
      </w:tblPr>
      <w:tblGrid>
        <w:gridCol w:w="5112"/>
        <w:gridCol w:w="5112"/>
      </w:tblGrid>
      <w:tr>
        <w:tc>
          <w:tcPr>
            <w:tcW w:type="dxa" w:w="5112"/>
          </w:tcPr>
          <w:p>
            <w:r>
              <w:t>Customer Says</w:t>
            </w:r>
          </w:p>
        </w:tc>
        <w:tc>
          <w:tcPr>
            <w:tcW w:type="dxa" w:w="5112"/>
          </w:tcPr>
          <w:p>
            <w:r>
              <w:t>Route</w:t>
            </w:r>
          </w:p>
        </w:tc>
      </w:tr>
      <w:tr>
        <w:tc>
          <w:tcPr>
            <w:tcW w:type="dxa" w:w="5112"/>
          </w:tcPr>
          <w:p>
            <w:r>
              <w:t>“Check this property for me.”</w:t>
            </w:r>
          </w:p>
        </w:tc>
        <w:tc>
          <w:tcPr>
            <w:tcW w:type="dxa" w:w="5112"/>
          </w:tcPr>
          <w:p>
            <w:r>
              <w:t>Verify</w:t>
            </w:r>
          </w:p>
        </w:tc>
      </w:tr>
      <w:tr>
        <w:tc>
          <w:tcPr>
            <w:tcW w:type="dxa" w:w="5112"/>
          </w:tcPr>
          <w:p>
            <w:r>
              <w:t>“I am building a house; check progress.”</w:t>
            </w:r>
          </w:p>
        </w:tc>
        <w:tc>
          <w:tcPr>
            <w:tcW w:type="dxa" w:w="5112"/>
          </w:tcPr>
          <w:p>
            <w:r>
              <w:t>Projects</w:t>
            </w:r>
          </w:p>
        </w:tc>
      </w:tr>
      <w:tr>
        <w:tc>
          <w:tcPr>
            <w:tcW w:type="dxa" w:w="5112"/>
          </w:tcPr>
          <w:p>
            <w:r>
              <w:t>“I own this property; keep an eye on it.”</w:t>
            </w:r>
          </w:p>
        </w:tc>
        <w:tc>
          <w:tcPr>
            <w:tcW w:type="dxa" w:w="5112"/>
          </w:tcPr>
          <w:p>
            <w:r>
              <w:t>Assets / recurring monitoring</w:t>
            </w:r>
          </w:p>
        </w:tc>
      </w:tr>
      <w:tr>
        <w:tc>
          <w:tcPr>
            <w:tcW w:type="dxa" w:w="5112"/>
          </w:tcPr>
          <w:p>
            <w:r>
              <w:t>“Do this specific thing in Nigeria.”</w:t>
            </w:r>
          </w:p>
        </w:tc>
        <w:tc>
          <w:tcPr>
            <w:tcW w:type="dxa" w:w="5112"/>
          </w:tcPr>
          <w:p>
            <w:r>
              <w:t>Concierge → scope</w:t>
            </w:r>
          </w:p>
        </w:tc>
      </w:tr>
      <w:tr>
        <w:tc>
          <w:tcPr>
            <w:tcW w:type="dxa" w:w="5112"/>
          </w:tcPr>
          <w:p>
            <w:r>
              <w:t>“Check my business.”</w:t>
            </w:r>
          </w:p>
        </w:tc>
        <w:tc>
          <w:tcPr>
            <w:tcW w:type="dxa" w:w="5112"/>
          </w:tcPr>
          <w:p>
            <w:r>
              <w:t>Business</w:t>
            </w:r>
          </w:p>
        </w:tc>
      </w:tr>
      <w:tr>
        <w:tc>
          <w:tcPr>
            <w:tcW w:type="dxa" w:w="5112"/>
          </w:tcPr>
          <w:p>
            <w:r>
              <w:t>“I need legal/engineering/valuation advice.”</w:t>
            </w:r>
          </w:p>
        </w:tc>
        <w:tc>
          <w:tcPr>
            <w:tcW w:type="dxa" w:w="5112"/>
          </w:tcPr>
          <w:p>
            <w:r>
              <w:t>Qualified/specialist pathway</w:t>
            </w:r>
          </w:p>
        </w:tc>
      </w:tr>
    </w:tbl>
    <w:p>
      <w:pPr>
        <w:pStyle w:val="Heading1"/>
      </w:pPr>
      <w:r>
        <w:t>27. Standard vs Custom</w:t>
      </w:r>
    </w:p>
    <w:tbl>
      <w:tblPr>
        <w:tblStyle w:val="TableGrid"/>
        <w:tblW w:type="auto" w:w="0"/>
        <w:jc w:val="center"/>
        <w:tblLook w:firstColumn="1" w:firstRow="1" w:lastColumn="0" w:lastRow="0" w:noHBand="0" w:noVBand="1" w:val="04A0"/>
      </w:tblPr>
      <w:tblGrid>
        <w:gridCol w:w="5112"/>
        <w:gridCol w:w="5112"/>
      </w:tblGrid>
      <w:tr>
        <w:tc>
          <w:tcPr>
            <w:tcW w:type="dxa" w:w="5112"/>
          </w:tcPr>
          <w:p>
            <w:r>
              <w:t>Standard</w:t>
            </w:r>
          </w:p>
        </w:tc>
        <w:tc>
          <w:tcPr>
            <w:tcW w:type="dxa" w:w="5112"/>
          </w:tcPr>
          <w:p>
            <w:r>
              <w:t>Custom</w:t>
            </w:r>
          </w:p>
        </w:tc>
      </w:tr>
      <w:tr>
        <w:tc>
          <w:tcPr>
            <w:tcW w:type="dxa" w:w="5112"/>
          </w:tcPr>
          <w:p>
            <w:r>
              <w:t>Defined property inspection</w:t>
            </w:r>
          </w:p>
        </w:tc>
        <w:tc>
          <w:tcPr>
            <w:tcW w:type="dxa" w:w="5112"/>
          </w:tcPr>
          <w:p>
            <w:r>
              <w:t>Multi-location inspection programme</w:t>
            </w:r>
          </w:p>
        </w:tc>
      </w:tr>
      <w:tr>
        <w:tc>
          <w:tcPr>
            <w:tcW w:type="dxa" w:w="5112"/>
          </w:tcPr>
          <w:p>
            <w:r>
              <w:t>Single project visit</w:t>
            </w:r>
          </w:p>
        </w:tc>
        <w:tc>
          <w:tcPr>
            <w:tcW w:type="dxa" w:w="5112"/>
          </w:tcPr>
          <w:p>
            <w:r>
              <w:t>Complex multi-party project coordination</w:t>
            </w:r>
          </w:p>
        </w:tc>
      </w:tr>
      <w:tr>
        <w:tc>
          <w:tcPr>
            <w:tcW w:type="dxa" w:w="5112"/>
          </w:tcPr>
          <w:p>
            <w:r>
              <w:t>Standard asset check</w:t>
            </w:r>
          </w:p>
        </w:tc>
        <w:tc>
          <w:tcPr>
            <w:tcW w:type="dxa" w:w="5112"/>
          </w:tcPr>
          <w:p>
            <w:r>
              <w:t>Unusual asset monitoring</w:t>
            </w:r>
          </w:p>
        </w:tc>
      </w:tr>
      <w:tr>
        <w:tc>
          <w:tcPr>
            <w:tcW w:type="dxa" w:w="5112"/>
          </w:tcPr>
          <w:p>
            <w:r>
              <w:t>Standard business/site visit</w:t>
            </w:r>
          </w:p>
        </w:tc>
        <w:tc>
          <w:tcPr>
            <w:tcW w:type="dxa" w:w="5112"/>
          </w:tcPr>
          <w:p>
            <w:r>
              <w:t>Complex operational monitoring</w:t>
            </w:r>
          </w:p>
        </w:tc>
      </w:tr>
      <w:tr>
        <w:tc>
          <w:tcPr>
            <w:tcW w:type="dxa" w:w="5112"/>
          </w:tcPr>
          <w:p>
            <w:r>
              <w:t>Standard recurring visit</w:t>
            </w:r>
          </w:p>
        </w:tc>
        <w:tc>
          <w:tcPr>
            <w:tcW w:type="dxa" w:w="5112"/>
          </w:tcPr>
          <w:p>
            <w:r>
              <w:t>Highly customized representation arrangement</w:t>
            </w:r>
          </w:p>
        </w:tc>
      </w:tr>
    </w:tbl>
    <w:p>
      <w:pPr>
        <w:pStyle w:val="Heading1"/>
      </w:pPr>
      <w:r>
        <w:t>28. Pricing Governance</w:t>
      </w:r>
    </w:p>
    <w:p>
      <w:r>
        <w:rPr>
          <w:b w:val="0"/>
        </w:rPr>
        <w:t>Only the approved P0 pricing framework should be used in customer quotes. If the correct price is unclear, the Concierge must not invent one.</w:t>
      </w:r>
    </w:p>
    <w:p>
      <w:r>
        <w:rPr>
          <w:b w:val="0"/>
        </w:rPr>
        <w:t>Recommended response: “Let me take this through our case assessment so we can give you an accurate scope and quote rather than guess.”</w:t>
      </w:r>
    </w:p>
    <w:p>
      <w:pPr>
        <w:pStyle w:val="Heading1"/>
      </w:pPr>
      <w:r>
        <w:t>29. P0 Service Launch Checklist</w:t>
      </w:r>
    </w:p>
    <w:tbl>
      <w:tblPr>
        <w:tblStyle w:val="TableGrid"/>
        <w:tblW w:type="auto" w:w="0"/>
        <w:jc w:val="center"/>
        <w:tblLook w:firstColumn="1" w:firstRow="1" w:lastColumn="0" w:lastRow="0" w:noHBand="0" w:noVBand="1" w:val="04A0"/>
      </w:tblPr>
      <w:tblGrid>
        <w:gridCol w:w="5112"/>
        <w:gridCol w:w="5112"/>
      </w:tblGrid>
      <w:tr>
        <w:tc>
          <w:tcPr>
            <w:tcW w:type="dxa" w:w="5112"/>
          </w:tcPr>
          <w:p>
            <w:r>
              <w:t>Requirement</w:t>
            </w:r>
          </w:p>
        </w:tc>
        <w:tc>
          <w:tcPr>
            <w:tcW w:type="dxa" w:w="5112"/>
          </w:tcPr>
          <w:p>
            <w:r>
              <w:t>Complete</w:t>
            </w:r>
          </w:p>
        </w:tc>
      </w:tr>
      <w:tr>
        <w:tc>
          <w:tcPr>
            <w:tcW w:type="dxa" w:w="5112"/>
          </w:tcPr>
          <w:p>
            <w:r>
              <w:t>Customer problem defined</w:t>
            </w:r>
          </w:p>
        </w:tc>
        <w:tc>
          <w:tcPr>
            <w:tcW w:type="dxa" w:w="5112"/>
          </w:tcPr>
          <w:p>
            <w:r/>
          </w:p>
        </w:tc>
      </w:tr>
      <w:tr>
        <w:tc>
          <w:tcPr>
            <w:tcW w:type="dxa" w:w="5112"/>
          </w:tcPr>
          <w:p>
            <w:r>
              <w:t>Scope documented</w:t>
            </w:r>
          </w:p>
        </w:tc>
        <w:tc>
          <w:tcPr>
            <w:tcW w:type="dxa" w:w="5112"/>
          </w:tcPr>
          <w:p>
            <w:r/>
          </w:p>
        </w:tc>
      </w:tr>
      <w:tr>
        <w:tc>
          <w:tcPr>
            <w:tcW w:type="dxa" w:w="5112"/>
          </w:tcPr>
          <w:p>
            <w:r>
              <w:t>Exclusions documented</w:t>
            </w:r>
          </w:p>
        </w:tc>
        <w:tc>
          <w:tcPr>
            <w:tcW w:type="dxa" w:w="5112"/>
          </w:tcPr>
          <w:p>
            <w:r/>
          </w:p>
        </w:tc>
      </w:tr>
      <w:tr>
        <w:tc>
          <w:tcPr>
            <w:tcW w:type="dxa" w:w="5112"/>
          </w:tcPr>
          <w:p>
            <w:r>
              <w:t>Evidence requirements defined</w:t>
            </w:r>
          </w:p>
        </w:tc>
        <w:tc>
          <w:tcPr>
            <w:tcW w:type="dxa" w:w="5112"/>
          </w:tcPr>
          <w:p>
            <w:r/>
          </w:p>
        </w:tc>
      </w:tr>
      <w:tr>
        <w:tc>
          <w:tcPr>
            <w:tcW w:type="dxa" w:w="5112"/>
          </w:tcPr>
          <w:p>
            <w:r>
              <w:t>Deliverable defined</w:t>
            </w:r>
          </w:p>
        </w:tc>
        <w:tc>
          <w:tcPr>
            <w:tcW w:type="dxa" w:w="5112"/>
          </w:tcPr>
          <w:p>
            <w:r/>
          </w:p>
        </w:tc>
      </w:tr>
      <w:tr>
        <w:tc>
          <w:tcPr>
            <w:tcW w:type="dxa" w:w="5112"/>
          </w:tcPr>
          <w:p>
            <w:r>
              <w:t>Representative capability available</w:t>
            </w:r>
          </w:p>
        </w:tc>
        <w:tc>
          <w:tcPr>
            <w:tcW w:type="dxa" w:w="5112"/>
          </w:tcPr>
          <w:p>
            <w:r/>
          </w:p>
        </w:tc>
      </w:tr>
      <w:tr>
        <w:tc>
          <w:tcPr>
            <w:tcW w:type="dxa" w:w="5112"/>
          </w:tcPr>
          <w:p>
            <w:r>
              <w:t>SLA validated</w:t>
            </w:r>
          </w:p>
        </w:tc>
        <w:tc>
          <w:tcPr>
            <w:tcW w:type="dxa" w:w="5112"/>
          </w:tcPr>
          <w:p>
            <w:r/>
          </w:p>
        </w:tc>
      </w:tr>
      <w:tr>
        <w:tc>
          <w:tcPr>
            <w:tcW w:type="dxa" w:w="5112"/>
          </w:tcPr>
          <w:p>
            <w:r>
              <w:t>Base price approved</w:t>
            </w:r>
          </w:p>
        </w:tc>
        <w:tc>
          <w:tcPr>
            <w:tcW w:type="dxa" w:w="5112"/>
          </w:tcPr>
          <w:p>
            <w:r/>
          </w:p>
        </w:tc>
      </w:tr>
      <w:tr>
        <w:tc>
          <w:tcPr>
            <w:tcW w:type="dxa" w:w="5112"/>
          </w:tcPr>
          <w:p>
            <w:r>
              <w:t>Travel treatment approved</w:t>
            </w:r>
          </w:p>
        </w:tc>
        <w:tc>
          <w:tcPr>
            <w:tcW w:type="dxa" w:w="5112"/>
          </w:tcPr>
          <w:p>
            <w:r/>
          </w:p>
        </w:tc>
      </w:tr>
      <w:tr>
        <w:tc>
          <w:tcPr>
            <w:tcW w:type="dxa" w:w="5112"/>
          </w:tcPr>
          <w:p>
            <w:r>
              <w:t>Third-party treatment approved</w:t>
            </w:r>
          </w:p>
        </w:tc>
        <w:tc>
          <w:tcPr>
            <w:tcW w:type="dxa" w:w="5112"/>
          </w:tcPr>
          <w:p>
            <w:r/>
          </w:p>
        </w:tc>
      </w:tr>
      <w:tr>
        <w:tc>
          <w:tcPr>
            <w:tcW w:type="dxa" w:w="5112"/>
          </w:tcPr>
          <w:p>
            <w:r>
              <w:t>Quote template updated</w:t>
            </w:r>
          </w:p>
        </w:tc>
        <w:tc>
          <w:tcPr>
            <w:tcW w:type="dxa" w:w="5112"/>
          </w:tcPr>
          <w:p>
            <w:r/>
          </w:p>
        </w:tc>
      </w:tr>
      <w:tr>
        <w:tc>
          <w:tcPr>
            <w:tcW w:type="dxa" w:w="5112"/>
          </w:tcPr>
          <w:p>
            <w:r>
              <w:t>Concierge script updated</w:t>
            </w:r>
          </w:p>
        </w:tc>
        <w:tc>
          <w:tcPr>
            <w:tcW w:type="dxa" w:w="5112"/>
          </w:tcPr>
          <w:p>
            <w:r/>
          </w:p>
        </w:tc>
      </w:tr>
      <w:tr>
        <w:tc>
          <w:tcPr>
            <w:tcW w:type="dxa" w:w="5112"/>
          </w:tcPr>
          <w:p>
            <w:r>
              <w:t>Case tracker updated</w:t>
            </w:r>
          </w:p>
        </w:tc>
        <w:tc>
          <w:tcPr>
            <w:tcW w:type="dxa" w:w="5112"/>
          </w:tcPr>
          <w:p>
            <w:r/>
          </w:p>
        </w:tc>
      </w:tr>
      <w:tr>
        <w:tc>
          <w:tcPr>
            <w:tcW w:type="dxa" w:w="5112"/>
          </w:tcPr>
          <w:p>
            <w:r>
              <w:t>QC process defined</w:t>
            </w:r>
          </w:p>
        </w:tc>
        <w:tc>
          <w:tcPr>
            <w:tcW w:type="dxa" w:w="5112"/>
          </w:tcPr>
          <w:p>
            <w:r/>
          </w:p>
        </w:tc>
      </w:tr>
      <w:tr>
        <w:tc>
          <w:tcPr>
            <w:tcW w:type="dxa" w:w="5112"/>
          </w:tcPr>
          <w:p>
            <w:r>
              <w:t>Report template ready</w:t>
            </w:r>
          </w:p>
        </w:tc>
        <w:tc>
          <w:tcPr>
            <w:tcW w:type="dxa" w:w="5112"/>
          </w:tcPr>
          <w:p>
            <w:r/>
          </w:p>
        </w:tc>
      </w:tr>
    </w:tbl>
    <w:p>
      <w:pPr>
        <w:pStyle w:val="Heading1"/>
      </w:pPr>
      <w:r>
        <w:t>30. Pricing Review Dashboard</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Review</w:t>
            </w:r>
          </w:p>
        </w:tc>
      </w:tr>
      <w:tr>
        <w:tc>
          <w:tcPr>
            <w:tcW w:type="dxa" w:w="5112"/>
          </w:tcPr>
          <w:p>
            <w:r>
              <w:t>Lead → quote conversion</w:t>
            </w:r>
          </w:p>
        </w:tc>
        <w:tc>
          <w:tcPr>
            <w:tcW w:type="dxa" w:w="5112"/>
          </w:tcPr>
          <w:p>
            <w:r>
              <w:t>Weekly</w:t>
            </w:r>
          </w:p>
        </w:tc>
      </w:tr>
      <w:tr>
        <w:tc>
          <w:tcPr>
            <w:tcW w:type="dxa" w:w="5112"/>
          </w:tcPr>
          <w:p>
            <w:r>
              <w:t>Quote → paid conversion</w:t>
            </w:r>
          </w:p>
        </w:tc>
        <w:tc>
          <w:tcPr>
            <w:tcW w:type="dxa" w:w="5112"/>
          </w:tcPr>
          <w:p>
            <w:r>
              <w:t>Weekly</w:t>
            </w:r>
          </w:p>
        </w:tc>
      </w:tr>
      <w:tr>
        <w:tc>
          <w:tcPr>
            <w:tcW w:type="dxa" w:w="5112"/>
          </w:tcPr>
          <w:p>
            <w:r>
              <w:t>Average order value</w:t>
            </w:r>
          </w:p>
        </w:tc>
        <w:tc>
          <w:tcPr>
            <w:tcW w:type="dxa" w:w="5112"/>
          </w:tcPr>
          <w:p>
            <w:r>
              <w:t>Weekly/Monthly</w:t>
            </w:r>
          </w:p>
        </w:tc>
      </w:tr>
      <w:tr>
        <w:tc>
          <w:tcPr>
            <w:tcW w:type="dxa" w:w="5112"/>
          </w:tcPr>
          <w:p>
            <w:r>
              <w:t>Discount rate</w:t>
            </w:r>
          </w:p>
        </w:tc>
        <w:tc>
          <w:tcPr>
            <w:tcW w:type="dxa" w:w="5112"/>
          </w:tcPr>
          <w:p>
            <w:r>
              <w:t>Monthly</w:t>
            </w:r>
          </w:p>
        </w:tc>
      </w:tr>
      <w:tr>
        <w:tc>
          <w:tcPr>
            <w:tcW w:type="dxa" w:w="5112"/>
          </w:tcPr>
          <w:p>
            <w:r>
              <w:t>Direct cost per service</w:t>
            </w:r>
          </w:p>
        </w:tc>
        <w:tc>
          <w:tcPr>
            <w:tcW w:type="dxa" w:w="5112"/>
          </w:tcPr>
          <w:p>
            <w:r>
              <w:t>Weekly/Monthly</w:t>
            </w:r>
          </w:p>
        </w:tc>
      </w:tr>
      <w:tr>
        <w:tc>
          <w:tcPr>
            <w:tcW w:type="dxa" w:w="5112"/>
          </w:tcPr>
          <w:p>
            <w:r>
              <w:t>Contribution margin</w:t>
            </w:r>
          </w:p>
        </w:tc>
        <w:tc>
          <w:tcPr>
            <w:tcW w:type="dxa" w:w="5112"/>
          </w:tcPr>
          <w:p>
            <w:r>
              <w:t>Weekly/Monthly</w:t>
            </w:r>
          </w:p>
        </w:tc>
      </w:tr>
      <w:tr>
        <w:tc>
          <w:tcPr>
            <w:tcW w:type="dxa" w:w="5112"/>
          </w:tcPr>
          <w:p>
            <w:r>
              <w:t>Rework cost</w:t>
            </w:r>
          </w:p>
        </w:tc>
        <w:tc>
          <w:tcPr>
            <w:tcW w:type="dxa" w:w="5112"/>
          </w:tcPr>
          <w:p>
            <w:r>
              <w:t>Monthly</w:t>
            </w:r>
          </w:p>
        </w:tc>
      </w:tr>
      <w:tr>
        <w:tc>
          <w:tcPr>
            <w:tcW w:type="dxa" w:w="5112"/>
          </w:tcPr>
          <w:p>
            <w:r>
              <w:t>Refund/credit rate</w:t>
            </w:r>
          </w:p>
        </w:tc>
        <w:tc>
          <w:tcPr>
            <w:tcW w:type="dxa" w:w="5112"/>
          </w:tcPr>
          <w:p>
            <w:r>
              <w:t>Monthly</w:t>
            </w:r>
          </w:p>
        </w:tc>
      </w:tr>
      <w:tr>
        <w:tc>
          <w:tcPr>
            <w:tcW w:type="dxa" w:w="5112"/>
          </w:tcPr>
          <w:p>
            <w:r>
              <w:t>Repeat purchase rate</w:t>
            </w:r>
          </w:p>
        </w:tc>
        <w:tc>
          <w:tcPr>
            <w:tcW w:type="dxa" w:w="5112"/>
          </w:tcPr>
          <w:p>
            <w:r>
              <w:t>Monthly</w:t>
            </w:r>
          </w:p>
        </w:tc>
      </w:tr>
      <w:tr>
        <w:tc>
          <w:tcPr>
            <w:tcW w:type="dxa" w:w="5112"/>
          </w:tcPr>
          <w:p>
            <w:r>
              <w:t>Recurring conversion</w:t>
            </w:r>
          </w:p>
        </w:tc>
        <w:tc>
          <w:tcPr>
            <w:tcW w:type="dxa" w:w="5112"/>
          </w:tcPr>
          <w:p>
            <w:r>
              <w:t>Monthly</w:t>
            </w:r>
          </w:p>
        </w:tc>
      </w:tr>
      <w:tr>
        <w:tc>
          <w:tcPr>
            <w:tcW w:type="dxa" w:w="5112"/>
          </w:tcPr>
          <w:p>
            <w:r>
              <w:t>Referral rate</w:t>
            </w:r>
          </w:p>
        </w:tc>
        <w:tc>
          <w:tcPr>
            <w:tcW w:type="dxa" w:w="5112"/>
          </w:tcPr>
          <w:p>
            <w:r>
              <w:t>Monthly</w:t>
            </w:r>
          </w:p>
        </w:tc>
      </w:tr>
    </w:tbl>
    <w:p>
      <w:pPr>
        <w:pStyle w:val="Heading1"/>
      </w:pPr>
      <w:r>
        <w:t>31. P0 Pricing Rules to Lock</w:t>
      </w:r>
    </w:p>
    <w:p>
      <w:pPr>
        <w:pStyle w:val="ListNumber"/>
      </w:pPr>
      <w:r>
        <w:t>Never quote without adequate scope.</w:t>
      </w:r>
    </w:p>
    <w:p>
      <w:pPr>
        <w:pStyle w:val="ListNumber"/>
      </w:pPr>
      <w:r>
        <w:t>Never hide material third-party costs.</w:t>
      </w:r>
    </w:p>
    <w:p>
      <w:pPr>
        <w:pStyle w:val="ListNumber"/>
      </w:pPr>
      <w:r>
        <w:t>Never promise a result controlled by someone else.</w:t>
      </w:r>
    </w:p>
    <w:p>
      <w:pPr>
        <w:pStyle w:val="ListNumber"/>
      </w:pPr>
      <w:r>
        <w:t>Never provide regulated/specialist advice outside competence.</w:t>
      </w:r>
    </w:p>
    <w:p>
      <w:pPr>
        <w:pStyle w:val="ListNumber"/>
      </w:pPr>
      <w:r>
        <w:t>Never allow discounts to become the default sales tactic.</w:t>
      </w:r>
    </w:p>
    <w:p>
      <w:pPr>
        <w:pStyle w:val="ListNumber"/>
      </w:pPr>
      <w:r>
        <w:t>Always record the commercial reason for custom pricing.</w:t>
      </w:r>
    </w:p>
    <w:p>
      <w:pPr>
        <w:pStyle w:val="ListNumber"/>
      </w:pPr>
      <w:r>
        <w:t>Always link the quote to a Case ID.</w:t>
      </w:r>
    </w:p>
    <w:p>
      <w:pPr>
        <w:pStyle w:val="ListNumber"/>
      </w:pPr>
      <w:r>
        <w:t>Always compare price against actual delivery economics.</w:t>
      </w:r>
    </w:p>
    <w:p>
      <w:pPr>
        <w:pStyle w:val="ListNumber"/>
      </w:pPr>
      <w:r>
        <w:t>Use the first 100 customers to validate willingness to pay and service margins.</w:t>
      </w:r>
    </w:p>
    <w:p>
      <w:pPr>
        <w:pStyle w:val="Heading1"/>
      </w:pPr>
      <w:r>
        <w:t>32. Strategic Pricing Position</w:t>
      </w:r>
    </w:p>
    <w:p>
      <w:r>
        <w:rPr>
          <w:b w:val="0"/>
        </w:rPr>
        <w:t>ASOJU should aim to be perceived as a trusted representation service, not a commodity errand service.</w:t>
      </w:r>
    </w:p>
    <w:p>
      <w:r>
        <w:rPr>
          <w:b/>
        </w:rPr>
        <w:t>The customer is paying for DISTANCE REDUCTION + TRUST + EXECUTION + EVIDENCE + ACCOUNTABILITY.</w:t>
      </w:r>
    </w:p>
    <w:p>
      <w:r>
        <w:rPr>
          <w:b w:val="0"/>
        </w:rPr>
        <w:t>Pricing should communicate that ASOJU takes responsibility for making the customer's remote task manageable and observable.</w:t>
      </w:r>
    </w:p>
    <w:p>
      <w:pPr>
        <w:pStyle w:val="Heading1"/>
      </w:pPr>
      <w:r>
        <w:t>33. P0 Pricing Status</w:t>
      </w:r>
    </w:p>
    <w:p>
      <w:r>
        <w:rPr>
          <w:b w:val="0"/>
        </w:rPr>
        <w:t>This document establishes pricing architecture and controls rather than inventing fixed public prices without pilot evidence. Actual price points should be locked after testing the first cohort and measuring willingness to pay, field costs, travel, conversion, rework and contribution margin.</w:t>
      </w:r>
    </w:p>
    <w:p>
      <w:r>
        <w:rPr>
          <w:b w:val="0"/>
        </w:rPr>
        <w:t>Document owner: ASOJU Operations / Commercial. Version: 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