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ASOJU MASTER DEVELOPER HANDOFF INDEX</w:t>
      </w:r>
    </w:p>
    <w:p>
      <w:pPr>
        <w:jc w:val="center"/>
      </w:pPr>
      <w:r>
        <w:rPr>
          <w:i/>
        </w:rPr>
        <w:t>Authoritative documentation map • Reading order • Ownership • Implementation handoff</w:t>
        <w:br/>
        <w:t>Version 1.0 • 15 August 2026</w:t>
      </w:r>
    </w:p>
    <w:p>
      <w:pPr>
        <w:pStyle w:val="Heading1"/>
      </w:pPr>
      <w:r>
        <w:t>1. Purpose</w:t>
      </w:r>
    </w:p>
    <w:p>
      <w:r>
        <w:t>This index is the navigation document for the ASOJU frontend developer handoff. It consolidates the documentation produced for the customer-facing frontend and tells the implementation team which document governs each area, what order to read them in, and where implementation should begin.</w:t>
      </w:r>
    </w:p>
    <w:p>
      <w:r>
        <w:t>The documents are complementary. Higher-level documents define product architecture and engineering principles; lower-level documents define screen, service, component, testing and contract detail.</w:t>
      </w:r>
    </w:p>
    <w:p>
      <w:pPr>
        <w:pStyle w:val="Heading1"/>
      </w:pPr>
      <w:r>
        <w:t>2. Recommended reading order</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Order</w:t>
            </w:r>
          </w:p>
        </w:tc>
        <w:tc>
          <w:tcPr>
            <w:tcW w:type="dxa" w:w="2628"/>
          </w:tcPr>
          <w:p>
            <w:r>
              <w:t>Document</w:t>
            </w:r>
          </w:p>
        </w:tc>
        <w:tc>
          <w:tcPr>
            <w:tcW w:type="dxa" w:w="2628"/>
          </w:tcPr>
          <w:p>
            <w:r>
              <w:t>What it controls</w:t>
            </w:r>
          </w:p>
        </w:tc>
        <w:tc>
          <w:tcPr>
            <w:tcW w:type="dxa" w:w="2628"/>
          </w:tcPr>
          <w:p>
            <w:r>
              <w:t>Primary owner</w:t>
            </w:r>
          </w:p>
        </w:tc>
      </w:tr>
      <w:tr>
        <w:tc>
          <w:tcPr>
            <w:tcW w:type="dxa" w:w="2628"/>
          </w:tcPr>
          <w:p>
            <w:r>
              <w:t>01</w:t>
            </w:r>
          </w:p>
        </w:tc>
        <w:tc>
          <w:tcPr>
            <w:tcW w:type="dxa" w:w="2628"/>
          </w:tcPr>
          <w:p>
            <w:r>
              <w:t>ASOJU Complete Front-End Master Engineering Document v1.0</w:t>
            </w:r>
          </w:p>
        </w:tc>
        <w:tc>
          <w:tcPr>
            <w:tcW w:type="dxa" w:w="2628"/>
          </w:tcPr>
          <w:p>
            <w:r>
              <w:t>Product-wide frontend architecture and customer lifecycle.</w:t>
            </w:r>
          </w:p>
        </w:tc>
        <w:tc>
          <w:tcPr>
            <w:tcW w:type="dxa" w:w="2628"/>
          </w:tcPr>
          <w:p>
            <w:r>
              <w:t>Product + Lead Engineer</w:t>
            </w:r>
          </w:p>
        </w:tc>
      </w:tr>
      <w:tr>
        <w:tc>
          <w:tcPr>
            <w:tcW w:type="dxa" w:w="2628"/>
          </w:tcPr>
          <w:p>
            <w:r>
              <w:t>02</w:t>
            </w:r>
          </w:p>
        </w:tc>
        <w:tc>
          <w:tcPr>
            <w:tcW w:type="dxa" w:w="2628"/>
          </w:tcPr>
          <w:p>
            <w:r>
              <w:t>ASOJU Master Services Front-End &amp; Engineering Specification v1.0</w:t>
            </w:r>
          </w:p>
        </w:tc>
        <w:tc>
          <w:tcPr>
            <w:tcW w:type="dxa" w:w="2628"/>
          </w:tcPr>
          <w:p>
            <w:r>
              <w:t>Six locked service-family architecture.</w:t>
            </w:r>
          </w:p>
        </w:tc>
        <w:tc>
          <w:tcPr>
            <w:tcW w:type="dxa" w:w="2628"/>
          </w:tcPr>
          <w:p>
            <w:r>
              <w:t>Product + Frontend</w:t>
            </w:r>
          </w:p>
        </w:tc>
      </w:tr>
      <w:tr>
        <w:tc>
          <w:tcPr>
            <w:tcW w:type="dxa" w:w="2628"/>
          </w:tcPr>
          <w:p>
            <w:r>
              <w:t>03</w:t>
            </w:r>
          </w:p>
        </w:tc>
        <w:tc>
          <w:tcPr>
            <w:tcW w:type="dxa" w:w="2628"/>
          </w:tcPr>
          <w:p>
            <w:r>
              <w:t>ASOJU Frontend Route &amp; Screen Inventory v1.0</w:t>
            </w:r>
          </w:p>
        </w:tc>
        <w:tc>
          <w:tcPr>
            <w:tcW w:type="dxa" w:w="2628"/>
          </w:tcPr>
          <w:p>
            <w:r>
              <w:t>Screen/route map and access model.</w:t>
            </w:r>
          </w:p>
        </w:tc>
        <w:tc>
          <w:tcPr>
            <w:tcW w:type="dxa" w:w="2628"/>
          </w:tcPr>
          <w:p>
            <w:r>
              <w:t>Frontend Lead</w:t>
            </w:r>
          </w:p>
        </w:tc>
      </w:tr>
      <w:tr>
        <w:tc>
          <w:tcPr>
            <w:tcW w:type="dxa" w:w="2628"/>
          </w:tcPr>
          <w:p>
            <w:r>
              <w:t>04</w:t>
            </w:r>
          </w:p>
        </w:tc>
        <w:tc>
          <w:tcPr>
            <w:tcW w:type="dxa" w:w="2628"/>
          </w:tcPr>
          <w:p>
            <w:r>
              <w:t>ASOJU Frontend Component Library &amp; Design-System Specification v1.0</w:t>
            </w:r>
          </w:p>
        </w:tc>
        <w:tc>
          <w:tcPr>
            <w:tcW w:type="dxa" w:w="2628"/>
          </w:tcPr>
          <w:p>
            <w:r>
              <w:t>Reusable UI primitives and component contracts.</w:t>
            </w:r>
          </w:p>
        </w:tc>
        <w:tc>
          <w:tcPr>
            <w:tcW w:type="dxa" w:w="2628"/>
          </w:tcPr>
          <w:p>
            <w:r>
              <w:t>Design System + Frontend</w:t>
            </w:r>
          </w:p>
        </w:tc>
      </w:tr>
      <w:tr>
        <w:tc>
          <w:tcPr>
            <w:tcW w:type="dxa" w:w="2628"/>
          </w:tcPr>
          <w:p>
            <w:r>
              <w:t>05</w:t>
            </w:r>
          </w:p>
        </w:tc>
        <w:tc>
          <w:tcPr>
            <w:tcW w:type="dxa" w:w="2628"/>
          </w:tcPr>
          <w:p>
            <w:r>
              <w:t>ASOJU API / Frontend State Contract Specification v1.0</w:t>
            </w:r>
          </w:p>
        </w:tc>
        <w:tc>
          <w:tcPr>
            <w:tcW w:type="dxa" w:w="2628"/>
          </w:tcPr>
          <w:p>
            <w:r>
              <w:t>Backend-facing data/state/permission contract.</w:t>
            </w:r>
          </w:p>
        </w:tc>
        <w:tc>
          <w:tcPr>
            <w:tcW w:type="dxa" w:w="2628"/>
          </w:tcPr>
          <w:p>
            <w:r>
              <w:t>Frontend + Backend</w:t>
            </w:r>
          </w:p>
        </w:tc>
      </w:tr>
      <w:tr>
        <w:tc>
          <w:tcPr>
            <w:tcW w:type="dxa" w:w="2628"/>
          </w:tcPr>
          <w:p>
            <w:r>
              <w:t>06</w:t>
            </w:r>
          </w:p>
        </w:tc>
        <w:tc>
          <w:tcPr>
            <w:tcW w:type="dxa" w:w="2628"/>
          </w:tcPr>
          <w:p>
            <w:r>
              <w:t>ASOJU Front-End Developer Implementation Backlog &amp; Sprint Plan v1.0</w:t>
            </w:r>
          </w:p>
        </w:tc>
        <w:tc>
          <w:tcPr>
            <w:tcW w:type="dxa" w:w="2628"/>
          </w:tcPr>
          <w:p>
            <w:r>
              <w:t>Build order, epics, sprints and release gates.</w:t>
            </w:r>
          </w:p>
        </w:tc>
        <w:tc>
          <w:tcPr>
            <w:tcW w:type="dxa" w:w="2628"/>
          </w:tcPr>
          <w:p>
            <w:r>
              <w:t>Engineering Lead</w:t>
            </w:r>
          </w:p>
        </w:tc>
      </w:tr>
      <w:tr>
        <w:tc>
          <w:tcPr>
            <w:tcW w:type="dxa" w:w="2628"/>
          </w:tcPr>
          <w:p>
            <w:r>
              <w:t>07</w:t>
            </w:r>
          </w:p>
        </w:tc>
        <w:tc>
          <w:tcPr>
            <w:tcW w:type="dxa" w:w="2628"/>
          </w:tcPr>
          <w:p>
            <w:r>
              <w:t>ASOJU Frontend QA &amp; UAT Test Specification v1.0</w:t>
            </w:r>
          </w:p>
        </w:tc>
        <w:tc>
          <w:tcPr>
            <w:tcW w:type="dxa" w:w="2628"/>
          </w:tcPr>
          <w:p>
            <w:r>
              <w:t>Validation, regression, security, accessibility and UAT.</w:t>
            </w:r>
          </w:p>
        </w:tc>
        <w:tc>
          <w:tcPr>
            <w:tcW w:type="dxa" w:w="2628"/>
          </w:tcPr>
          <w:p>
            <w:r>
              <w:t>QA + Product</w:t>
            </w:r>
          </w:p>
        </w:tc>
      </w:tr>
      <w:tr>
        <w:tc>
          <w:tcPr>
            <w:tcW w:type="dxa" w:w="2628"/>
          </w:tcPr>
          <w:p>
            <w:r>
              <w:t>08</w:t>
            </w:r>
          </w:p>
        </w:tc>
        <w:tc>
          <w:tcPr>
            <w:tcW w:type="dxa" w:w="2628"/>
          </w:tcPr>
          <w:p>
            <w:r>
              <w:t>Homepage specification / blueprint</w:t>
            </w:r>
          </w:p>
        </w:tc>
        <w:tc>
          <w:tcPr>
            <w:tcW w:type="dxa" w:w="2628"/>
          </w:tcPr>
          <w:p>
            <w:r>
              <w:t>Homepage-specific presentation and Concierge hero behavior.</w:t>
            </w:r>
          </w:p>
        </w:tc>
        <w:tc>
          <w:tcPr>
            <w:tcW w:type="dxa" w:w="2628"/>
          </w:tcPr>
          <w:p>
            <w:r>
              <w:t>Product + Frontend</w:t>
            </w:r>
          </w:p>
        </w:tc>
      </w:tr>
      <w:tr>
        <w:tc>
          <w:tcPr>
            <w:tcW w:type="dxa" w:w="2628"/>
          </w:tcPr>
          <w:p>
            <w:r>
              <w:t>09</w:t>
            </w:r>
          </w:p>
        </w:tc>
        <w:tc>
          <w:tcPr>
            <w:tcW w:type="dxa" w:w="2628"/>
          </w:tcPr>
          <w:p>
            <w:r>
              <w:t>Six service-page blueprints</w:t>
            </w:r>
          </w:p>
        </w:tc>
        <w:tc>
          <w:tcPr>
            <w:tcW w:type="dxa" w:w="2628"/>
          </w:tcPr>
          <w:p>
            <w:r>
              <w:t>Deep service-specific page requirements.</w:t>
            </w:r>
          </w:p>
        </w:tc>
        <w:tc>
          <w:tcPr>
            <w:tcW w:type="dxa" w:w="2628"/>
          </w:tcPr>
          <w:p>
            <w:r>
              <w:t>Product + Service owners</w:t>
            </w:r>
          </w:p>
        </w:tc>
      </w:tr>
    </w:tbl>
    <w:p>
      <w:pPr>
        <w:pStyle w:val="Heading1"/>
      </w:pPr>
      <w:r>
        <w:t>3. Document authority hierarchy</w:t>
      </w:r>
    </w:p>
    <w:p>
      <w:r>
        <w:t>When two documents appear to overlap, use this hierarchy:</w:t>
      </w:r>
    </w:p>
    <w:p>
      <w:pPr>
        <w:pStyle w:val="ListBullet"/>
      </w:pPr>
      <w:r>
        <w:t>1 — Actual repository/backend contracts: authoritative for what the system can technically and securely do.</w:t>
      </w:r>
    </w:p>
    <w:p>
      <w:pPr>
        <w:pStyle w:val="ListBullet"/>
      </w:pPr>
      <w:r>
        <w:t>2 — Complete Front-End Master Engineering Document: authoritative for overall frontend architecture.</w:t>
      </w:r>
    </w:p>
    <w:p>
      <w:pPr>
        <w:pStyle w:val="ListBullet"/>
      </w:pPr>
      <w:r>
        <w:t>3 — Master Services Specification: authoritative for the six-service public architecture.</w:t>
      </w:r>
    </w:p>
    <w:p>
      <w:pPr>
        <w:pStyle w:val="ListBullet"/>
      </w:pPr>
      <w:r>
        <w:t>4 — Route/Screen Inventory: authoritative for the intended screen map.</w:t>
      </w:r>
    </w:p>
    <w:p>
      <w:pPr>
        <w:pStyle w:val="ListBullet"/>
      </w:pPr>
      <w:r>
        <w:t>5 — Component/Design System Specification: authoritative for reusable UI architecture.</w:t>
      </w:r>
    </w:p>
    <w:p>
      <w:pPr>
        <w:pStyle w:val="ListBullet"/>
      </w:pPr>
      <w:r>
        <w:t>6 — API/Frontend State Contract: logical contract to be reconciled with actual backend implementation.</w:t>
      </w:r>
    </w:p>
    <w:p>
      <w:pPr>
        <w:pStyle w:val="ListBullet"/>
      </w:pPr>
      <w:r>
        <w:t>7 — Implementation Backlog/Sprint Plan: delivery sequence.</w:t>
      </w:r>
    </w:p>
    <w:p>
      <w:pPr>
        <w:pStyle w:val="ListBullet"/>
      </w:pPr>
      <w:r>
        <w:t>8 — QA/UAT Specification: validation and release criteria.</w:t>
      </w:r>
    </w:p>
    <w:p>
      <w:pPr>
        <w:pStyle w:val="ListBullet"/>
      </w:pPr>
      <w:r>
        <w:t>9 — Page-specific blueprints: detailed presentation within the architecture above.</w:t>
      </w:r>
    </w:p>
    <w:p>
      <w:r>
        <w:t>Where the actual repository differs from a logical specification, the team should document the difference and update the implementation mapping rather than silently creating a parallel system.</w:t>
      </w:r>
    </w:p>
    <w:p>
      <w:pPr>
        <w:pStyle w:val="Heading1"/>
      </w:pPr>
      <w:r>
        <w:t>4. Locked product architecture</w:t>
      </w:r>
    </w:p>
    <w:p>
      <w:r>
        <w:t>The public service menu contains exactly six service families:</w:t>
      </w:r>
    </w:p>
    <w:tbl>
      <w:tblPr>
        <w:tblStyle w:val="TableGrid"/>
        <w:tblW w:type="auto" w:w="0"/>
        <w:tblLook w:firstColumn="1" w:firstRow="1" w:lastColumn="0" w:lastRow="0" w:noHBand="0" w:noVBand="1" w:val="04A0"/>
      </w:tblPr>
      <w:tblGrid>
        <w:gridCol w:w="3504"/>
        <w:gridCol w:w="3504"/>
        <w:gridCol w:w="3504"/>
      </w:tblGrid>
      <w:tr>
        <w:tc>
          <w:tcPr>
            <w:tcW w:type="dxa" w:w="3504"/>
          </w:tcPr>
          <w:p>
            <w:r>
              <w:t>#</w:t>
            </w:r>
          </w:p>
        </w:tc>
        <w:tc>
          <w:tcPr>
            <w:tcW w:type="dxa" w:w="3504"/>
          </w:tcPr>
          <w:p>
            <w:r>
              <w:t>Service</w:t>
            </w:r>
          </w:p>
        </w:tc>
        <w:tc>
          <w:tcPr>
            <w:tcW w:type="dxa" w:w="3504"/>
          </w:tcPr>
          <w:p>
            <w:r>
              <w:t>Primary role</w:t>
            </w:r>
          </w:p>
        </w:tc>
      </w:tr>
      <w:tr>
        <w:tc>
          <w:tcPr>
            <w:tcW w:type="dxa" w:w="3504"/>
          </w:tcPr>
          <w:p>
            <w:r>
              <w:t>1</w:t>
            </w:r>
          </w:p>
        </w:tc>
        <w:tc>
          <w:tcPr>
            <w:tcW w:type="dxa" w:w="3504"/>
          </w:tcPr>
          <w:p>
            <w:r>
              <w:t>ASOJU Arrivals</w:t>
            </w:r>
          </w:p>
        </w:tc>
        <w:tc>
          <w:tcPr>
            <w:tcW w:type="dxa" w:w="3504"/>
          </w:tcPr>
          <w:p>
            <w:r>
              <w:t>Arrival support, including transport and accommodation coordination.</w:t>
            </w:r>
          </w:p>
        </w:tc>
      </w:tr>
      <w:tr>
        <w:tc>
          <w:tcPr>
            <w:tcW w:type="dxa" w:w="3504"/>
          </w:tcPr>
          <w:p>
            <w:r>
              <w:t>2</w:t>
            </w:r>
          </w:p>
        </w:tc>
        <w:tc>
          <w:tcPr>
            <w:tcW w:type="dxa" w:w="3504"/>
          </w:tcPr>
          <w:p>
            <w:r>
              <w:t>ASOJU Inspect</w:t>
            </w:r>
          </w:p>
        </w:tc>
        <w:tc>
          <w:tcPr>
            <w:tcW w:type="dxa" w:w="3504"/>
          </w:tcPr>
          <w:p>
            <w:r>
              <w:t>Property, asset and site inspection/checking.</w:t>
            </w:r>
          </w:p>
        </w:tc>
      </w:tr>
      <w:tr>
        <w:tc>
          <w:tcPr>
            <w:tcW w:type="dxa" w:w="3504"/>
          </w:tcPr>
          <w:p>
            <w:r>
              <w:t>3</w:t>
            </w:r>
          </w:p>
        </w:tc>
        <w:tc>
          <w:tcPr>
            <w:tcW w:type="dxa" w:w="3504"/>
          </w:tcPr>
          <w:p>
            <w:r>
              <w:t>ASOJU Build</w:t>
            </w:r>
          </w:p>
        </w:tc>
        <w:tc>
          <w:tcPr>
            <w:tcW w:type="dxa" w:w="3504"/>
          </w:tcPr>
          <w:p>
            <w:r>
              <w:t>Construction/project supervision and monitoring.</w:t>
            </w:r>
          </w:p>
        </w:tc>
      </w:tr>
      <w:tr>
        <w:tc>
          <w:tcPr>
            <w:tcW w:type="dxa" w:w="3504"/>
          </w:tcPr>
          <w:p>
            <w:r>
              <w:t>4</w:t>
            </w:r>
          </w:p>
        </w:tc>
        <w:tc>
          <w:tcPr>
            <w:tcW w:type="dxa" w:w="3504"/>
          </w:tcPr>
          <w:p>
            <w:r>
              <w:t>ASOJU Care</w:t>
            </w:r>
          </w:p>
        </w:tc>
        <w:tc>
          <w:tcPr>
            <w:tcW w:type="dxa" w:w="3504"/>
          </w:tcPr>
          <w:p>
            <w:r>
              <w:t>Supported family/personal matters and local representation.</w:t>
            </w:r>
          </w:p>
        </w:tc>
      </w:tr>
      <w:tr>
        <w:tc>
          <w:tcPr>
            <w:tcW w:type="dxa" w:w="3504"/>
          </w:tcPr>
          <w:p>
            <w:r>
              <w:t>5</w:t>
            </w:r>
          </w:p>
        </w:tc>
        <w:tc>
          <w:tcPr>
            <w:tcW w:type="dxa" w:w="3504"/>
          </w:tcPr>
          <w:p>
            <w:r>
              <w:t>ASOJU Verify</w:t>
            </w:r>
          </w:p>
        </w:tc>
        <w:tc>
          <w:tcPr>
            <w:tcW w:type="dxa" w:w="3504"/>
          </w:tcPr>
          <w:p>
            <w:r>
              <w:t>Supported verification and due diligence.</w:t>
            </w:r>
          </w:p>
        </w:tc>
      </w:tr>
      <w:tr>
        <w:tc>
          <w:tcPr>
            <w:tcW w:type="dxa" w:w="3504"/>
          </w:tcPr>
          <w:p>
            <w:r>
              <w:t>6</w:t>
            </w:r>
          </w:p>
        </w:tc>
        <w:tc>
          <w:tcPr>
            <w:tcW w:type="dxa" w:w="3504"/>
          </w:tcPr>
          <w:p>
            <w:r>
              <w:t>ASOJU Assist</w:t>
            </w:r>
          </w:p>
        </w:tc>
        <w:tc>
          <w:tcPr>
            <w:tcW w:type="dxa" w:w="3504"/>
          </w:tcPr>
          <w:p>
            <w:r>
              <w:t>Flexible supported tasks that do not naturally belong to the other five.</w:t>
            </w:r>
          </w:p>
        </w:tc>
      </w:tr>
    </w:tbl>
    <w:p>
      <w:r>
        <w:t>Farewell is excluded from the public service architecture.</w:t>
      </w:r>
    </w:p>
    <w:p>
      <w:pPr>
        <w:pStyle w:val="Heading1"/>
      </w:pPr>
      <w:r>
        <w:t>5. Core customer journey</w:t>
      </w:r>
    </w:p>
    <w:p>
      <w:r>
        <w:t>Every developer should understand this path before implementing individual screens:</w:t>
      </w:r>
    </w:p>
    <w:p>
      <w:r>
        <w:t>Discover → AI Concierge → Clarify → Structured Request → Authentication → Formal Case → Scope → Quote → Payment → Execution → Evidence/Updates → Completion</w:t>
      </w:r>
    </w:p>
    <w:p>
      <w:pPr>
        <w:pStyle w:val="ListBullet"/>
      </w:pPr>
      <w:r>
        <w:t>Concierge may be started anonymously.</w:t>
      </w:r>
    </w:p>
    <w:p>
      <w:pPr>
        <w:pStyle w:val="ListBullet"/>
      </w:pPr>
      <w:r>
        <w:t>Formal case creation requires authentication.</w:t>
      </w:r>
    </w:p>
    <w:p>
      <w:pPr>
        <w:pStyle w:val="ListBullet"/>
      </w:pPr>
      <w:r>
        <w:t>Backend state is authoritative for case, scope, quote, payment, provider availability, evidence and completion.</w:t>
      </w:r>
    </w:p>
    <w:p>
      <w:pPr>
        <w:pStyle w:val="ListBullet"/>
      </w:pPr>
      <w:r>
        <w:t>Customer UI must never imply success before server confirmation.</w:t>
      </w:r>
    </w:p>
    <w:p>
      <w:pPr>
        <w:pStyle w:val="Heading1"/>
      </w:pPr>
      <w:r>
        <w:t>6. Homepage handoff</w:t>
      </w:r>
    </w:p>
    <w:p>
      <w:r>
        <w:t>The homepage is the primary public presentation and Concierge entry point.</w:t>
      </w:r>
    </w:p>
    <w:tbl>
      <w:tblPr>
        <w:tblStyle w:val="TableGrid"/>
        <w:tblW w:type="auto" w:w="0"/>
        <w:tblLook w:firstColumn="1" w:firstRow="1" w:lastColumn="0" w:lastRow="0" w:noHBand="0" w:noVBand="1" w:val="04A0"/>
      </w:tblPr>
      <w:tblGrid>
        <w:gridCol w:w="5256"/>
        <w:gridCol w:w="5256"/>
      </w:tblGrid>
      <w:tr>
        <w:tc>
          <w:tcPr>
            <w:tcW w:type="dxa" w:w="5256"/>
          </w:tcPr>
          <w:p>
            <w:r>
              <w:t>Requirement</w:t>
            </w:r>
          </w:p>
        </w:tc>
        <w:tc>
          <w:tcPr>
            <w:tcW w:type="dxa" w:w="5256"/>
          </w:tcPr>
          <w:p>
            <w:r>
              <w:t>Developer reference</w:t>
            </w:r>
          </w:p>
        </w:tc>
      </w:tr>
      <w:tr>
        <w:tc>
          <w:tcPr>
            <w:tcW w:type="dxa" w:w="5256"/>
          </w:tcPr>
          <w:p>
            <w:r>
              <w:t>Hero + Concierge</w:t>
            </w:r>
          </w:p>
        </w:tc>
        <w:tc>
          <w:tcPr>
            <w:tcW w:type="dxa" w:w="5256"/>
          </w:tcPr>
          <w:p>
            <w:r>
              <w:t>Homepage specification/blueprint + Complete Front-End Master.</w:t>
            </w:r>
          </w:p>
        </w:tc>
      </w:tr>
      <w:tr>
        <w:tc>
          <w:tcPr>
            <w:tcW w:type="dxa" w:w="5256"/>
          </w:tcPr>
          <w:p>
            <w:r>
              <w:t>Six services</w:t>
            </w:r>
          </w:p>
        </w:tc>
        <w:tc>
          <w:tcPr>
            <w:tcW w:type="dxa" w:w="5256"/>
          </w:tcPr>
          <w:p>
            <w:r>
              <w:t>Master Services Specification.</w:t>
            </w:r>
          </w:p>
        </w:tc>
      </w:tr>
      <w:tr>
        <w:tc>
          <w:tcPr>
            <w:tcW w:type="dxa" w:w="5256"/>
          </w:tcPr>
          <w:p>
            <w:r>
              <w:t>Trust/representation/how it works</w:t>
            </w:r>
          </w:p>
        </w:tc>
        <w:tc>
          <w:tcPr>
            <w:tcW w:type="dxa" w:w="5256"/>
          </w:tcPr>
          <w:p>
            <w:r>
              <w:t>Homepage specification + Master Front-End.</w:t>
            </w:r>
          </w:p>
        </w:tc>
      </w:tr>
      <w:tr>
        <w:tc>
          <w:tcPr>
            <w:tcW w:type="dxa" w:w="5256"/>
          </w:tcPr>
          <w:p>
            <w:r>
              <w:t>Anonymous Concierge</w:t>
            </w:r>
          </w:p>
        </w:tc>
        <w:tc>
          <w:tcPr>
            <w:tcW w:type="dxa" w:w="5256"/>
          </w:tcPr>
          <w:p>
            <w:r>
              <w:t>API/Frontend State Contract + Component Specification.</w:t>
            </w:r>
          </w:p>
        </w:tc>
      </w:tr>
      <w:tr>
        <w:tc>
          <w:tcPr>
            <w:tcW w:type="dxa" w:w="5256"/>
          </w:tcPr>
          <w:p>
            <w:r>
              <w:t>Authentication gate</w:t>
            </w:r>
          </w:p>
        </w:tc>
        <w:tc>
          <w:tcPr>
            <w:tcW w:type="dxa" w:w="5256"/>
          </w:tcPr>
          <w:p>
            <w:r>
              <w:t>Route/Screen Inventory + API/Frontend State Contract.</w:t>
            </w:r>
          </w:p>
        </w:tc>
      </w:tr>
    </w:tbl>
    <w:p>
      <w:pPr>
        <w:pStyle w:val="Heading1"/>
      </w:pPr>
      <w:r>
        <w:t>7. Six-service handoff</w:t>
      </w:r>
    </w:p>
    <w:tbl>
      <w:tblPr>
        <w:tblStyle w:val="TableGrid"/>
        <w:tblW w:type="auto" w:w="0"/>
        <w:tblLook w:firstColumn="1" w:firstRow="1" w:lastColumn="0" w:lastRow="0" w:noHBand="0" w:noVBand="1" w:val="04A0"/>
      </w:tblPr>
      <w:tblGrid>
        <w:gridCol w:w="3504"/>
        <w:gridCol w:w="3504"/>
        <w:gridCol w:w="3504"/>
      </w:tblGrid>
      <w:tr>
        <w:tc>
          <w:tcPr>
            <w:tcW w:type="dxa" w:w="3504"/>
          </w:tcPr>
          <w:p>
            <w:r>
              <w:t>Service</w:t>
            </w:r>
          </w:p>
        </w:tc>
        <w:tc>
          <w:tcPr>
            <w:tcW w:type="dxa" w:w="3504"/>
          </w:tcPr>
          <w:p>
            <w:r>
              <w:t>Primary blueprint</w:t>
            </w:r>
          </w:p>
        </w:tc>
        <w:tc>
          <w:tcPr>
            <w:tcW w:type="dxa" w:w="3504"/>
          </w:tcPr>
          <w:p>
            <w:r>
              <w:t>Cross-reference</w:t>
            </w:r>
          </w:p>
        </w:tc>
      </w:tr>
      <w:tr>
        <w:tc>
          <w:tcPr>
            <w:tcW w:type="dxa" w:w="3504"/>
          </w:tcPr>
          <w:p>
            <w:r>
              <w:t>Arrivals</w:t>
            </w:r>
          </w:p>
        </w:tc>
        <w:tc>
          <w:tcPr>
            <w:tcW w:type="dxa" w:w="3504"/>
          </w:tcPr>
          <w:p>
            <w:r>
              <w:t>ASOJU Arrivals service-page blueprint</w:t>
            </w:r>
          </w:p>
        </w:tc>
        <w:tc>
          <w:tcPr>
            <w:tcW w:type="dxa" w:w="3504"/>
          </w:tcPr>
          <w:p>
            <w:r>
              <w:t>Master Services + Screen Inventory + QA</w:t>
            </w:r>
          </w:p>
        </w:tc>
      </w:tr>
      <w:tr>
        <w:tc>
          <w:tcPr>
            <w:tcW w:type="dxa" w:w="3504"/>
          </w:tcPr>
          <w:p>
            <w:r>
              <w:t>Inspect</w:t>
            </w:r>
          </w:p>
        </w:tc>
        <w:tc>
          <w:tcPr>
            <w:tcW w:type="dxa" w:w="3504"/>
          </w:tcPr>
          <w:p>
            <w:r>
              <w:t>ASOJU Inspect service-page blueprint</w:t>
            </w:r>
          </w:p>
        </w:tc>
        <w:tc>
          <w:tcPr>
            <w:tcW w:type="dxa" w:w="3504"/>
          </w:tcPr>
          <w:p>
            <w:r>
              <w:t>Master Services + Screen Inventory + QA</w:t>
            </w:r>
          </w:p>
        </w:tc>
      </w:tr>
      <w:tr>
        <w:tc>
          <w:tcPr>
            <w:tcW w:type="dxa" w:w="3504"/>
          </w:tcPr>
          <w:p>
            <w:r>
              <w:t>Build</w:t>
            </w:r>
          </w:p>
        </w:tc>
        <w:tc>
          <w:tcPr>
            <w:tcW w:type="dxa" w:w="3504"/>
          </w:tcPr>
          <w:p>
            <w:r>
              <w:t>ASOJU Build service-page blueprint</w:t>
            </w:r>
          </w:p>
        </w:tc>
        <w:tc>
          <w:tcPr>
            <w:tcW w:type="dxa" w:w="3504"/>
          </w:tcPr>
          <w:p>
            <w:r>
              <w:t>Master Services + Screen Inventory + QA</w:t>
            </w:r>
          </w:p>
        </w:tc>
      </w:tr>
      <w:tr>
        <w:tc>
          <w:tcPr>
            <w:tcW w:type="dxa" w:w="3504"/>
          </w:tcPr>
          <w:p>
            <w:r>
              <w:t>Care</w:t>
            </w:r>
          </w:p>
        </w:tc>
        <w:tc>
          <w:tcPr>
            <w:tcW w:type="dxa" w:w="3504"/>
          </w:tcPr>
          <w:p>
            <w:r>
              <w:t>ASOJU Care service-page blueprint</w:t>
            </w:r>
          </w:p>
        </w:tc>
        <w:tc>
          <w:tcPr>
            <w:tcW w:type="dxa" w:w="3504"/>
          </w:tcPr>
          <w:p>
            <w:r>
              <w:t>Master Services + Screen Inventory + QA</w:t>
            </w:r>
          </w:p>
        </w:tc>
      </w:tr>
      <w:tr>
        <w:tc>
          <w:tcPr>
            <w:tcW w:type="dxa" w:w="3504"/>
          </w:tcPr>
          <w:p>
            <w:r>
              <w:t>Verify</w:t>
            </w:r>
          </w:p>
        </w:tc>
        <w:tc>
          <w:tcPr>
            <w:tcW w:type="dxa" w:w="3504"/>
          </w:tcPr>
          <w:p>
            <w:r>
              <w:t>ASOJU Verify service-page blueprint</w:t>
            </w:r>
          </w:p>
        </w:tc>
        <w:tc>
          <w:tcPr>
            <w:tcW w:type="dxa" w:w="3504"/>
          </w:tcPr>
          <w:p>
            <w:r>
              <w:t>Master Services + Screen Inventory + QA</w:t>
            </w:r>
          </w:p>
        </w:tc>
      </w:tr>
      <w:tr>
        <w:tc>
          <w:tcPr>
            <w:tcW w:type="dxa" w:w="3504"/>
          </w:tcPr>
          <w:p>
            <w:r>
              <w:t>Assist</w:t>
            </w:r>
          </w:p>
        </w:tc>
        <w:tc>
          <w:tcPr>
            <w:tcW w:type="dxa" w:w="3504"/>
          </w:tcPr>
          <w:p>
            <w:r>
              <w:t>ASOJU Assist service-page blueprint</w:t>
            </w:r>
          </w:p>
        </w:tc>
        <w:tc>
          <w:tcPr>
            <w:tcW w:type="dxa" w:w="3504"/>
          </w:tcPr>
          <w:p>
            <w:r>
              <w:t>Master Services + Screen Inventory + QA</w:t>
            </w:r>
          </w:p>
        </w:tc>
      </w:tr>
    </w:tbl>
    <w:p>
      <w:pPr>
        <w:pStyle w:val="Heading1"/>
      </w:pPr>
      <w:r>
        <w:t>8. Component architecture handoff</w:t>
      </w:r>
    </w:p>
    <w:p>
      <w:r>
        <w:t>The component specification should be used before building page-specific UI.</w:t>
      </w:r>
    </w:p>
    <w:p>
      <w:pPr>
        <w:pStyle w:val="ListBullet"/>
      </w:pPr>
      <w:r>
        <w:t>Foundation: typography, spacing, container, grid, tokens.</w:t>
      </w:r>
    </w:p>
    <w:p>
      <w:pPr>
        <w:pStyle w:val="ListBullet"/>
      </w:pPr>
      <w:r>
        <w:t>Primitives: buttons, inputs, badges, links, form controls.</w:t>
      </w:r>
    </w:p>
    <w:p>
      <w:pPr>
        <w:pStyle w:val="ListBullet"/>
      </w:pPr>
      <w:r>
        <w:t>Composites: cards, modals, drawers, accordions, toasts, timelines.</w:t>
      </w:r>
    </w:p>
    <w:p>
      <w:pPr>
        <w:pStyle w:val="ListBullet"/>
      </w:pPr>
      <w:r>
        <w:t>Product components: Concierge, ServiceHero, ServiceCard, CaseCard, QuoteCard, EvidenceViewer, NotificationItem.</w:t>
      </w:r>
    </w:p>
    <w:p>
      <w:pPr>
        <w:pStyle w:val="ListBullet"/>
      </w:pPr>
      <w:r>
        <w:t>Page composition: Homepage, ServicePage, Dashboard, CaseDetail, QuoteDetail.</w:t>
      </w:r>
    </w:p>
    <w:p>
      <w:r>
        <w:t>Rule: if a reusable component already exists in the repository, extend/reuse it rather than creating a duplicate.</w:t>
      </w:r>
    </w:p>
    <w:p>
      <w:pPr>
        <w:pStyle w:val="Heading1"/>
      </w:pPr>
      <w:r>
        <w:t>9. Backend integration handoff</w:t>
      </w:r>
    </w:p>
    <w:p>
      <w:r>
        <w:t>The API/Frontend State Contract is a logical contract, not a claim about undocumented endpoint names.</w:t>
      </w:r>
    </w:p>
    <w:p>
      <w:pPr>
        <w:pStyle w:val="ListBullet"/>
      </w:pPr>
      <w:r>
        <w:t>First identify the actual API transport and client architecture.</w:t>
      </w:r>
    </w:p>
    <w:p>
      <w:pPr>
        <w:pStyle w:val="ListBullet"/>
      </w:pPr>
      <w:r>
        <w:t>Map real domain objects and enums.</w:t>
      </w:r>
    </w:p>
    <w:p>
      <w:pPr>
        <w:pStyle w:val="ListBullet"/>
      </w:pPr>
      <w:r>
        <w:t>Map actual permissions/capabilities.</w:t>
      </w:r>
    </w:p>
    <w:p>
      <w:pPr>
        <w:pStyle w:val="ListBullet"/>
      </w:pPr>
      <w:r>
        <w:t>Map actual errors/conflicts/expiry states.</w:t>
      </w:r>
    </w:p>
    <w:p>
      <w:pPr>
        <w:pStyle w:val="ListBullet"/>
      </w:pPr>
      <w:r>
        <w:t>Map payment confirmation behavior.</w:t>
      </w:r>
    </w:p>
    <w:p>
      <w:pPr>
        <w:pStyle w:val="ListBullet"/>
      </w:pPr>
      <w:r>
        <w:t>Map evidence security/access mechanism.</w:t>
      </w:r>
    </w:p>
    <w:p>
      <w:pPr>
        <w:pStyle w:val="ListBullet"/>
      </w:pPr>
      <w:r>
        <w:t>Commit the resulting route/API/state mapping to the repository.</w:t>
      </w:r>
    </w:p>
    <w:p>
      <w:pPr>
        <w:pStyle w:val="Heading1"/>
      </w:pPr>
      <w:r>
        <w:t>10. Implementation order</w:t>
      </w:r>
    </w:p>
    <w:tbl>
      <w:tblPr>
        <w:tblStyle w:val="TableGrid"/>
        <w:tblW w:type="auto" w:w="0"/>
        <w:tblLook w:firstColumn="1" w:firstRow="1" w:lastColumn="0" w:lastRow="0" w:noHBand="0" w:noVBand="1" w:val="04A0"/>
      </w:tblPr>
      <w:tblGrid>
        <w:gridCol w:w="5256"/>
        <w:gridCol w:w="5256"/>
      </w:tblGrid>
      <w:tr>
        <w:tc>
          <w:tcPr>
            <w:tcW w:type="dxa" w:w="5256"/>
          </w:tcPr>
          <w:p>
            <w:r>
              <w:t>Phase</w:t>
            </w:r>
          </w:p>
        </w:tc>
        <w:tc>
          <w:tcPr>
            <w:tcW w:type="dxa" w:w="5256"/>
          </w:tcPr>
          <w:p>
            <w:r>
              <w:t>Work</w:t>
            </w:r>
          </w:p>
        </w:tc>
      </w:tr>
      <w:tr>
        <w:tc>
          <w:tcPr>
            <w:tcW w:type="dxa" w:w="5256"/>
          </w:tcPr>
          <w:p>
            <w:r>
              <w:t>Phase 0</w:t>
            </w:r>
          </w:p>
        </w:tc>
        <w:tc>
          <w:tcPr>
            <w:tcW w:type="dxa" w:w="5256"/>
          </w:tcPr>
          <w:p>
            <w:r>
              <w:t>Repository/backend/design-system audit.</w:t>
            </w:r>
          </w:p>
        </w:tc>
      </w:tr>
      <w:tr>
        <w:tc>
          <w:tcPr>
            <w:tcW w:type="dxa" w:w="5256"/>
          </w:tcPr>
          <w:p>
            <w:r>
              <w:t>Phase 1</w:t>
            </w:r>
          </w:p>
        </w:tc>
        <w:tc>
          <w:tcPr>
            <w:tcW w:type="dxa" w:w="5256"/>
          </w:tcPr>
          <w:p>
            <w:r>
              <w:t>Design tokens + global shell.</w:t>
            </w:r>
          </w:p>
        </w:tc>
      </w:tr>
      <w:tr>
        <w:tc>
          <w:tcPr>
            <w:tcW w:type="dxa" w:w="5256"/>
          </w:tcPr>
          <w:p>
            <w:r>
              <w:t>Phase 2</w:t>
            </w:r>
          </w:p>
        </w:tc>
        <w:tc>
          <w:tcPr>
            <w:tcW w:type="dxa" w:w="5256"/>
          </w:tcPr>
          <w:p>
            <w:r>
              <w:t>AI Concierge.</w:t>
            </w:r>
          </w:p>
        </w:tc>
      </w:tr>
      <w:tr>
        <w:tc>
          <w:tcPr>
            <w:tcW w:type="dxa" w:w="5256"/>
          </w:tcPr>
          <w:p>
            <w:r>
              <w:t>Phase 3</w:t>
            </w:r>
          </w:p>
        </w:tc>
        <w:tc>
          <w:tcPr>
            <w:tcW w:type="dxa" w:w="5256"/>
          </w:tcPr>
          <w:p>
            <w:r>
              <w:t>Authentication + handoff.</w:t>
            </w:r>
          </w:p>
        </w:tc>
      </w:tr>
      <w:tr>
        <w:tc>
          <w:tcPr>
            <w:tcW w:type="dxa" w:w="5256"/>
          </w:tcPr>
          <w:p>
            <w:r>
              <w:t>Phase 4</w:t>
            </w:r>
          </w:p>
        </w:tc>
        <w:tc>
          <w:tcPr>
            <w:tcW w:type="dxa" w:w="5256"/>
          </w:tcPr>
          <w:p>
            <w:r>
              <w:t>Homepage.</w:t>
            </w:r>
          </w:p>
        </w:tc>
      </w:tr>
      <w:tr>
        <w:tc>
          <w:tcPr>
            <w:tcW w:type="dxa" w:w="5256"/>
          </w:tcPr>
          <w:p>
            <w:r>
              <w:t>Phase 5</w:t>
            </w:r>
          </w:p>
        </w:tc>
        <w:tc>
          <w:tcPr>
            <w:tcW w:type="dxa" w:w="5256"/>
          </w:tcPr>
          <w:p>
            <w:r>
              <w:t>Shared service-page framework.</w:t>
            </w:r>
          </w:p>
        </w:tc>
      </w:tr>
      <w:tr>
        <w:tc>
          <w:tcPr>
            <w:tcW w:type="dxa" w:w="5256"/>
          </w:tcPr>
          <w:p>
            <w:r>
              <w:t>Phase 6</w:t>
            </w:r>
          </w:p>
        </w:tc>
        <w:tc>
          <w:tcPr>
            <w:tcW w:type="dxa" w:w="5256"/>
          </w:tcPr>
          <w:p>
            <w:r>
              <w:t>Six service pages.</w:t>
            </w:r>
          </w:p>
        </w:tc>
      </w:tr>
      <w:tr>
        <w:tc>
          <w:tcPr>
            <w:tcW w:type="dxa" w:w="5256"/>
          </w:tcPr>
          <w:p>
            <w:r>
              <w:t>Phase 7</w:t>
            </w:r>
          </w:p>
        </w:tc>
        <w:tc>
          <w:tcPr>
            <w:tcW w:type="dxa" w:w="5256"/>
          </w:tcPr>
          <w:p>
            <w:r>
              <w:t>Customer dashboard.</w:t>
            </w:r>
          </w:p>
        </w:tc>
      </w:tr>
      <w:tr>
        <w:tc>
          <w:tcPr>
            <w:tcW w:type="dxa" w:w="5256"/>
          </w:tcPr>
          <w:p>
            <w:r>
              <w:t>Phase 8</w:t>
            </w:r>
          </w:p>
        </w:tc>
        <w:tc>
          <w:tcPr>
            <w:tcW w:type="dxa" w:w="5256"/>
          </w:tcPr>
          <w:p>
            <w:r>
              <w:t>Cases.</w:t>
            </w:r>
          </w:p>
        </w:tc>
      </w:tr>
      <w:tr>
        <w:tc>
          <w:tcPr>
            <w:tcW w:type="dxa" w:w="5256"/>
          </w:tcPr>
          <w:p>
            <w:r>
              <w:t>Phase 9</w:t>
            </w:r>
          </w:p>
        </w:tc>
        <w:tc>
          <w:tcPr>
            <w:tcW w:type="dxa" w:w="5256"/>
          </w:tcPr>
          <w:p>
            <w:r>
              <w:t>Quotes + payments.</w:t>
            </w:r>
          </w:p>
        </w:tc>
      </w:tr>
      <w:tr>
        <w:tc>
          <w:tcPr>
            <w:tcW w:type="dxa" w:w="5256"/>
          </w:tcPr>
          <w:p>
            <w:r>
              <w:t>Phase 10</w:t>
            </w:r>
          </w:p>
        </w:tc>
        <w:tc>
          <w:tcPr>
            <w:tcW w:type="dxa" w:w="5256"/>
          </w:tcPr>
          <w:p>
            <w:r>
              <w:t>Evidence + reports.</w:t>
            </w:r>
          </w:p>
        </w:tc>
      </w:tr>
      <w:tr>
        <w:tc>
          <w:tcPr>
            <w:tcW w:type="dxa" w:w="5256"/>
          </w:tcPr>
          <w:p>
            <w:r>
              <w:t>Phase 11</w:t>
            </w:r>
          </w:p>
        </w:tc>
        <w:tc>
          <w:tcPr>
            <w:tcW w:type="dxa" w:w="5256"/>
          </w:tcPr>
          <w:p>
            <w:r>
              <w:t>Notifications.</w:t>
            </w:r>
          </w:p>
        </w:tc>
      </w:tr>
      <w:tr>
        <w:tc>
          <w:tcPr>
            <w:tcW w:type="dxa" w:w="5256"/>
          </w:tcPr>
          <w:p>
            <w:r>
              <w:t>Phase 12</w:t>
            </w:r>
          </w:p>
        </w:tc>
        <w:tc>
          <w:tcPr>
            <w:tcW w:type="dxa" w:w="5256"/>
          </w:tcPr>
          <w:p>
            <w:r>
              <w:t>Referrals + membership where configured.</w:t>
            </w:r>
          </w:p>
        </w:tc>
      </w:tr>
      <w:tr>
        <w:tc>
          <w:tcPr>
            <w:tcW w:type="dxa" w:w="5256"/>
          </w:tcPr>
          <w:p>
            <w:r>
              <w:t>Phase 13</w:t>
            </w:r>
          </w:p>
        </w:tc>
        <w:tc>
          <w:tcPr>
            <w:tcW w:type="dxa" w:w="5256"/>
          </w:tcPr>
          <w:p>
            <w:r>
              <w:t>Integration hardening.</w:t>
            </w:r>
          </w:p>
        </w:tc>
      </w:tr>
      <w:tr>
        <w:tc>
          <w:tcPr>
            <w:tcW w:type="dxa" w:w="5256"/>
          </w:tcPr>
          <w:p>
            <w:r>
              <w:t>Phase 14</w:t>
            </w:r>
          </w:p>
        </w:tc>
        <w:tc>
          <w:tcPr>
            <w:tcW w:type="dxa" w:w="5256"/>
          </w:tcPr>
          <w:p>
            <w:r>
              <w:t>QA/security/accessibility/performance/UAT.</w:t>
            </w:r>
          </w:p>
        </w:tc>
      </w:tr>
    </w:tbl>
    <w:p>
      <w:pPr>
        <w:pStyle w:val="Heading1"/>
      </w:pPr>
      <w:r>
        <w:t>11. P0 critical path</w:t>
      </w:r>
    </w:p>
    <w:p>
      <w:pPr>
        <w:pStyle w:val="ListBullet"/>
      </w:pPr>
      <w:r>
        <w:t>Homepage loads.</w:t>
      </w:r>
    </w:p>
    <w:p>
      <w:pPr>
        <w:pStyle w:val="ListBullet"/>
      </w:pPr>
      <w:r>
        <w:t>Anonymous Concierge starts.</w:t>
      </w:r>
    </w:p>
    <w:p>
      <w:pPr>
        <w:pStyle w:val="ListBullet"/>
      </w:pPr>
      <w:r>
        <w:t>Concierge clarifies request.</w:t>
      </w:r>
    </w:p>
    <w:p>
      <w:pPr>
        <w:pStyle w:val="ListBullet"/>
      </w:pPr>
      <w:r>
        <w:t>Structured request is produced.</w:t>
      </w:r>
    </w:p>
    <w:p>
      <w:pPr>
        <w:pStyle w:val="ListBullet"/>
      </w:pPr>
      <w:r>
        <w:t>Authentication is required before case creation.</w:t>
      </w:r>
    </w:p>
    <w:p>
      <w:pPr>
        <w:pStyle w:val="ListBullet"/>
      </w:pPr>
      <w:r>
        <w:t>Request context survives authentication.</w:t>
      </w:r>
    </w:p>
    <w:p>
      <w:pPr>
        <w:pStyle w:val="ListBullet"/>
      </w:pPr>
      <w:r>
        <w:t>Formal case is created exactly once.</w:t>
      </w:r>
    </w:p>
    <w:p>
      <w:pPr>
        <w:pStyle w:val="ListBullet"/>
      </w:pPr>
      <w:r>
        <w:t>Case appears in dashboard.</w:t>
      </w:r>
    </w:p>
    <w:p>
      <w:pPr>
        <w:pStyle w:val="ListBullet"/>
      </w:pPr>
      <w:r>
        <w:t>Quote is displayed from server state.</w:t>
      </w:r>
    </w:p>
    <w:p>
      <w:pPr>
        <w:pStyle w:val="ListBullet"/>
      </w:pPr>
      <w:r>
        <w:t>Payment flow is initiated.</w:t>
      </w:r>
    </w:p>
    <w:p>
      <w:pPr>
        <w:pStyle w:val="ListBullet"/>
      </w:pPr>
      <w:r>
        <w:t>Payment is confirmed by server state.</w:t>
      </w:r>
    </w:p>
    <w:p>
      <w:pPr>
        <w:pStyle w:val="ListBullet"/>
      </w:pPr>
      <w:r>
        <w:t>Permitted evidence/status is visible.</w:t>
      </w:r>
    </w:p>
    <w:p>
      <w:pPr>
        <w:pStyle w:val="Heading1"/>
      </w:pPr>
      <w:r>
        <w:t>12. QA release gates</w:t>
      </w:r>
    </w:p>
    <w:tbl>
      <w:tblPr>
        <w:tblStyle w:val="TableGrid"/>
        <w:tblW w:type="auto" w:w="0"/>
        <w:tblLook w:firstColumn="1" w:firstRow="1" w:lastColumn="0" w:lastRow="0" w:noHBand="0" w:noVBand="1" w:val="04A0"/>
      </w:tblPr>
      <w:tblGrid>
        <w:gridCol w:w="5256"/>
        <w:gridCol w:w="5256"/>
      </w:tblGrid>
      <w:tr>
        <w:tc>
          <w:tcPr>
            <w:tcW w:type="dxa" w:w="5256"/>
          </w:tcPr>
          <w:p>
            <w:r>
              <w:t>Gate</w:t>
            </w:r>
          </w:p>
        </w:tc>
        <w:tc>
          <w:tcPr>
            <w:tcW w:type="dxa" w:w="5256"/>
          </w:tcPr>
          <w:p>
            <w:r>
              <w:t>Required</w:t>
            </w:r>
          </w:p>
        </w:tc>
      </w:tr>
      <w:tr>
        <w:tc>
          <w:tcPr>
            <w:tcW w:type="dxa" w:w="5256"/>
          </w:tcPr>
          <w:p>
            <w:r>
              <w:t>Public UX</w:t>
            </w:r>
          </w:p>
        </w:tc>
        <w:tc>
          <w:tcPr>
            <w:tcW w:type="dxa" w:w="5256"/>
          </w:tcPr>
          <w:p>
            <w:r>
              <w:t>Homepage + six services pass responsive/accessibility review.</w:t>
            </w:r>
          </w:p>
        </w:tc>
      </w:tr>
      <w:tr>
        <w:tc>
          <w:tcPr>
            <w:tcW w:type="dxa" w:w="5256"/>
          </w:tcPr>
          <w:p>
            <w:r>
              <w:t>Concierge</w:t>
            </w:r>
          </w:p>
        </w:tc>
        <w:tc>
          <w:tcPr>
            <w:tcW w:type="dxa" w:w="5256"/>
          </w:tcPr>
          <w:p>
            <w:r>
              <w:t>Anonymous → auth → case E2E passes.</w:t>
            </w:r>
          </w:p>
        </w:tc>
      </w:tr>
      <w:tr>
        <w:tc>
          <w:tcPr>
            <w:tcW w:type="dxa" w:w="5256"/>
          </w:tcPr>
          <w:p>
            <w:r>
              <w:t>Customer workspace</w:t>
            </w:r>
          </w:p>
        </w:tc>
        <w:tc>
          <w:tcPr>
            <w:tcW w:type="dxa" w:w="5256"/>
          </w:tcPr>
          <w:p>
            <w:r>
              <w:t>Cases, quote/payment and evidence core flows pass.</w:t>
            </w:r>
          </w:p>
        </w:tc>
      </w:tr>
      <w:tr>
        <w:tc>
          <w:tcPr>
            <w:tcW w:type="dxa" w:w="5256"/>
          </w:tcPr>
          <w:p>
            <w:r>
              <w:t>Security</w:t>
            </w:r>
          </w:p>
        </w:tc>
        <w:tc>
          <w:tcPr>
            <w:tcW w:type="dxa" w:w="5256"/>
          </w:tcPr>
          <w:p>
            <w:r>
              <w:t>Authorization/privacy smoke tests pass.</w:t>
            </w:r>
          </w:p>
        </w:tc>
      </w:tr>
      <w:tr>
        <w:tc>
          <w:tcPr>
            <w:tcW w:type="dxa" w:w="5256"/>
          </w:tcPr>
          <w:p>
            <w:r>
              <w:t>Payment</w:t>
            </w:r>
          </w:p>
        </w:tc>
        <w:tc>
          <w:tcPr>
            <w:tcW w:type="dxa" w:w="5256"/>
          </w:tcPr>
          <w:p>
            <w:r>
              <w:t>Server-confirmed payment path passes.</w:t>
            </w:r>
          </w:p>
        </w:tc>
      </w:tr>
      <w:tr>
        <w:tc>
          <w:tcPr>
            <w:tcW w:type="dxa" w:w="5256"/>
          </w:tcPr>
          <w:p>
            <w:r>
              <w:t>Accessibility</w:t>
            </w:r>
          </w:p>
        </w:tc>
        <w:tc>
          <w:tcPr>
            <w:tcW w:type="dxa" w:w="5256"/>
          </w:tcPr>
          <w:p>
            <w:r>
              <w:t>Keyboard, labels, focus and dynamic status checks pass.</w:t>
            </w:r>
          </w:p>
        </w:tc>
      </w:tr>
      <w:tr>
        <w:tc>
          <w:tcPr>
            <w:tcW w:type="dxa" w:w="5256"/>
          </w:tcPr>
          <w:p>
            <w:r>
              <w:t>UAT</w:t>
            </w:r>
          </w:p>
        </w:tc>
        <w:tc>
          <w:tcPr>
            <w:tcW w:type="dxa" w:w="5256"/>
          </w:tcPr>
          <w:p>
            <w:r>
              <w:t>Critical customer scenarios signed off.</w:t>
            </w:r>
          </w:p>
        </w:tc>
      </w:tr>
    </w:tbl>
    <w:p>
      <w:pPr>
        <w:pStyle w:val="Heading1"/>
      </w:pPr>
      <w:r>
        <w:t>13. Developer kickoff checklist</w:t>
      </w:r>
    </w:p>
    <w:p>
      <w:pPr>
        <w:pStyle w:val="ListBullet"/>
      </w:pPr>
      <w:r>
        <w:t>Read this index.</w:t>
      </w:r>
    </w:p>
    <w:p>
      <w:pPr>
        <w:pStyle w:val="ListBullet"/>
      </w:pPr>
      <w:r>
        <w:t>Read Complete Front-End Master Engineering Document.</w:t>
      </w:r>
    </w:p>
    <w:p>
      <w:pPr>
        <w:pStyle w:val="ListBullet"/>
      </w:pPr>
      <w:r>
        <w:t>Read Master Services Specification.</w:t>
      </w:r>
    </w:p>
    <w:p>
      <w:pPr>
        <w:pStyle w:val="ListBullet"/>
      </w:pPr>
      <w:r>
        <w:t>Read Route &amp; Screen Inventory.</w:t>
      </w:r>
    </w:p>
    <w:p>
      <w:pPr>
        <w:pStyle w:val="ListBullet"/>
      </w:pPr>
      <w:r>
        <w:t>Read Component/Design-System Specification.</w:t>
      </w:r>
    </w:p>
    <w:p>
      <w:pPr>
        <w:pStyle w:val="ListBullet"/>
      </w:pPr>
      <w:r>
        <w:t>Read API/Frontend State Contract.</w:t>
      </w:r>
    </w:p>
    <w:p>
      <w:pPr>
        <w:pStyle w:val="ListBullet"/>
      </w:pPr>
      <w:r>
        <w:t>Read Implementation Backlog.</w:t>
      </w:r>
    </w:p>
    <w:p>
      <w:pPr>
        <w:pStyle w:val="ListBullet"/>
      </w:pPr>
      <w:r>
        <w:t>Read QA/UAT Specification.</w:t>
      </w:r>
    </w:p>
    <w:p>
      <w:pPr>
        <w:pStyle w:val="ListBullet"/>
      </w:pPr>
      <w:r>
        <w:t>Read Homepage and service-specific blueprints before implementing those surfaces.</w:t>
      </w:r>
    </w:p>
    <w:p>
      <w:pPr>
        <w:pStyle w:val="ListBullet"/>
      </w:pPr>
      <w:r>
        <w:t>Audit the repository before creating routes, components or API clients.</w:t>
      </w:r>
    </w:p>
    <w:p>
      <w:pPr>
        <w:pStyle w:val="ListBullet"/>
      </w:pPr>
      <w:r>
        <w:t>Create the actual route/component/API/state mapping.</w:t>
      </w:r>
    </w:p>
    <w:p>
      <w:pPr>
        <w:pStyle w:val="ListBullet"/>
      </w:pPr>
      <w:r>
        <w:t>Flag unresolved backend/product assumptions.</w:t>
      </w:r>
    </w:p>
    <w:p>
      <w:pPr>
        <w:pStyle w:val="Heading1"/>
      </w:pPr>
      <w:r>
        <w:t>14. Required repository outputs</w:t>
      </w:r>
    </w:p>
    <w:tbl>
      <w:tblPr>
        <w:tblStyle w:val="TableGrid"/>
        <w:tblW w:type="auto" w:w="0"/>
        <w:tblLook w:firstColumn="1" w:firstRow="1" w:lastColumn="0" w:lastRow="0" w:noHBand="0" w:noVBand="1" w:val="04A0"/>
      </w:tblPr>
      <w:tblGrid>
        <w:gridCol w:w="5256"/>
        <w:gridCol w:w="5256"/>
      </w:tblGrid>
      <w:tr>
        <w:tc>
          <w:tcPr>
            <w:tcW w:type="dxa" w:w="5256"/>
          </w:tcPr>
          <w:p>
            <w:r>
              <w:t>Artifact</w:t>
            </w:r>
          </w:p>
        </w:tc>
        <w:tc>
          <w:tcPr>
            <w:tcW w:type="dxa" w:w="5256"/>
          </w:tcPr>
          <w:p>
            <w:r>
              <w:t>Purpose</w:t>
            </w:r>
          </w:p>
        </w:tc>
      </w:tr>
      <w:tr>
        <w:tc>
          <w:tcPr>
            <w:tcW w:type="dxa" w:w="5256"/>
          </w:tcPr>
          <w:p>
            <w:r>
              <w:t>Route map</w:t>
            </w:r>
          </w:p>
        </w:tc>
        <w:tc>
          <w:tcPr>
            <w:tcW w:type="dxa" w:w="5256"/>
          </w:tcPr>
          <w:p>
            <w:r>
              <w:t>Canonical route → screen mapping.</w:t>
            </w:r>
          </w:p>
        </w:tc>
      </w:tr>
      <w:tr>
        <w:tc>
          <w:tcPr>
            <w:tcW w:type="dxa" w:w="5256"/>
          </w:tcPr>
          <w:p>
            <w:r>
              <w:t>Component map</w:t>
            </w:r>
          </w:p>
        </w:tc>
        <w:tc>
          <w:tcPr>
            <w:tcW w:type="dxa" w:w="5256"/>
          </w:tcPr>
          <w:p>
            <w:r>
              <w:t>Shared component → consuming screens.</w:t>
            </w:r>
          </w:p>
        </w:tc>
      </w:tr>
      <w:tr>
        <w:tc>
          <w:tcPr>
            <w:tcW w:type="dxa" w:w="5256"/>
          </w:tcPr>
          <w:p>
            <w:r>
              <w:t>API map</w:t>
            </w:r>
          </w:p>
        </w:tc>
        <w:tc>
          <w:tcPr>
            <w:tcW w:type="dxa" w:w="5256"/>
          </w:tcPr>
          <w:p>
            <w:r>
              <w:t>Screen/component → backend operation/data dependency.</w:t>
            </w:r>
          </w:p>
        </w:tc>
      </w:tr>
      <w:tr>
        <w:tc>
          <w:tcPr>
            <w:tcW w:type="dxa" w:w="5256"/>
          </w:tcPr>
          <w:p>
            <w:r>
              <w:t>State map</w:t>
            </w:r>
          </w:p>
        </w:tc>
        <w:tc>
          <w:tcPr>
            <w:tcW w:type="dxa" w:w="5256"/>
          </w:tcPr>
          <w:p>
            <w:r>
              <w:t>Backend enum/state → customer UI representation.</w:t>
            </w:r>
          </w:p>
        </w:tc>
      </w:tr>
      <w:tr>
        <w:tc>
          <w:tcPr>
            <w:tcW w:type="dxa" w:w="5256"/>
          </w:tcPr>
          <w:p>
            <w:r>
              <w:t>Permission map</w:t>
            </w:r>
          </w:p>
        </w:tc>
        <w:tc>
          <w:tcPr>
            <w:tcW w:type="dxa" w:w="5256"/>
          </w:tcPr>
          <w:p>
            <w:r>
              <w:t>Backend capability → frontend action visibility.</w:t>
            </w:r>
          </w:p>
        </w:tc>
      </w:tr>
      <w:tr>
        <w:tc>
          <w:tcPr>
            <w:tcW w:type="dxa" w:w="5256"/>
          </w:tcPr>
          <w:p>
            <w:r>
              <w:t>Test map</w:t>
            </w:r>
          </w:p>
        </w:tc>
        <w:tc>
          <w:tcPr>
            <w:tcW w:type="dxa" w:w="5256"/>
          </w:tcPr>
          <w:p>
            <w:r>
              <w:t>Requirement → unit/integration/E2E/UAT coverage.</w:t>
            </w:r>
          </w:p>
        </w:tc>
      </w:tr>
      <w:tr>
        <w:tc>
          <w:tcPr>
            <w:tcW w:type="dxa" w:w="5256"/>
          </w:tcPr>
          <w:p>
            <w:r>
              <w:t>Decision log</w:t>
            </w:r>
          </w:p>
        </w:tc>
        <w:tc>
          <w:tcPr>
            <w:tcW w:type="dxa" w:w="5256"/>
          </w:tcPr>
          <w:p>
            <w:r>
              <w:t>Resolved deviations/assumptions from specifications.</w:t>
            </w:r>
          </w:p>
        </w:tc>
      </w:tr>
    </w:tbl>
    <w:p>
      <w:pPr>
        <w:pStyle w:val="Heading1"/>
      </w:pPr>
      <w:r>
        <w:t>15. Change-control rules</w:t>
      </w:r>
    </w:p>
    <w:p>
      <w:pPr>
        <w:pStyle w:val="ListBullet"/>
      </w:pPr>
      <w:r>
        <w:t>Do not change the six public service taxonomy without product approval.</w:t>
      </w:r>
    </w:p>
    <w:p>
      <w:pPr>
        <w:pStyle w:val="ListBullet"/>
      </w:pPr>
      <w:r>
        <w:t>Do not add public capabilities that are not supported by the backend/configuration.</w:t>
      </w:r>
    </w:p>
    <w:p>
      <w:pPr>
        <w:pStyle w:val="ListBullet"/>
      </w:pPr>
      <w:r>
        <w:t>Do not change quote/payment authority from server to client.</w:t>
      </w:r>
    </w:p>
    <w:p>
      <w:pPr>
        <w:pStyle w:val="ListBullet"/>
      </w:pPr>
      <w:r>
        <w:t>Do not weaken authorization to make a UI flow work.</w:t>
      </w:r>
    </w:p>
    <w:p>
      <w:pPr>
        <w:pStyle w:val="ListBullet"/>
      </w:pPr>
      <w:r>
        <w:t>Do not create duplicate shared components without a documented reason.</w:t>
      </w:r>
    </w:p>
    <w:p>
      <w:pPr>
        <w:pStyle w:val="ListBullet"/>
      </w:pPr>
      <w:r>
        <w:t>Update this index and the relevant specification when a material architecture decision changes.</w:t>
      </w:r>
    </w:p>
    <w:p>
      <w:pPr>
        <w:pStyle w:val="Heading1"/>
      </w:pPr>
      <w:r>
        <w:t>16. Final handoff package</w:t>
      </w:r>
    </w:p>
    <w:p>
      <w:r>
        <w:t>The developer should receive this index together with the following files:</w:t>
      </w:r>
    </w:p>
    <w:p>
      <w:pPr>
        <w:pStyle w:val="ListBullet"/>
      </w:pPr>
      <w:r>
        <w:t>ASOJU Complete Front-End Master Engineering Document v1.0</w:t>
      </w:r>
    </w:p>
    <w:p>
      <w:pPr>
        <w:pStyle w:val="ListBullet"/>
      </w:pPr>
      <w:r>
        <w:t>ASOJU Master Services Front-End &amp; Engineering Specification v1.0</w:t>
      </w:r>
    </w:p>
    <w:p>
      <w:pPr>
        <w:pStyle w:val="ListBullet"/>
      </w:pPr>
      <w:r>
        <w:t>ASOJU Frontend Route &amp; Screen Inventory v1.0</w:t>
      </w:r>
    </w:p>
    <w:p>
      <w:pPr>
        <w:pStyle w:val="ListBullet"/>
      </w:pPr>
      <w:r>
        <w:t>ASOJU Frontend Component Library &amp; Design-System Specification v1.0</w:t>
      </w:r>
    </w:p>
    <w:p>
      <w:pPr>
        <w:pStyle w:val="ListBullet"/>
      </w:pPr>
      <w:r>
        <w:t>ASOJU API / Frontend State Contract Specification v1.0</w:t>
      </w:r>
    </w:p>
    <w:p>
      <w:pPr>
        <w:pStyle w:val="ListBullet"/>
      </w:pPr>
      <w:r>
        <w:t>ASOJU Front-End Developer Implementation Backlog &amp; Sprint Plan v1.0</w:t>
      </w:r>
    </w:p>
    <w:p>
      <w:pPr>
        <w:pStyle w:val="ListBullet"/>
      </w:pPr>
      <w:r>
        <w:t>ASOJU Frontend QA &amp; UAT Test Specification v1.0</w:t>
      </w:r>
    </w:p>
    <w:p>
      <w:pPr>
        <w:pStyle w:val="ListBullet"/>
      </w:pPr>
      <w:r>
        <w:t>Homepage specification/blueprint</w:t>
      </w:r>
    </w:p>
    <w:p>
      <w:pPr>
        <w:pStyle w:val="ListBullet"/>
      </w:pPr>
      <w:r>
        <w:t>Arrivals service-page blueprint</w:t>
      </w:r>
    </w:p>
    <w:p>
      <w:pPr>
        <w:pStyle w:val="ListBullet"/>
      </w:pPr>
      <w:r>
        <w:t>Inspect service-page blueprint</w:t>
      </w:r>
    </w:p>
    <w:p>
      <w:pPr>
        <w:pStyle w:val="ListBullet"/>
      </w:pPr>
      <w:r>
        <w:t>Build service-page blueprint</w:t>
      </w:r>
    </w:p>
    <w:p>
      <w:pPr>
        <w:pStyle w:val="ListBullet"/>
      </w:pPr>
      <w:r>
        <w:t>Care service-page blueprint</w:t>
      </w:r>
    </w:p>
    <w:p>
      <w:pPr>
        <w:pStyle w:val="ListBullet"/>
      </w:pPr>
      <w:r>
        <w:t>Verify service-page blueprint</w:t>
      </w:r>
    </w:p>
    <w:p>
      <w:pPr>
        <w:pStyle w:val="ListBullet"/>
      </w:pPr>
      <w:r>
        <w:t>Assist service-page blueprint</w:t>
      </w:r>
    </w:p>
    <w:p>
      <w:pPr>
        <w:pStyle w:val="Heading1"/>
      </w:pPr>
      <w:r>
        <w:t>17. Final instruction to the developer</w:t>
      </w:r>
    </w:p>
    <w:p>
      <w:r>
        <w:t>Build ASOJU as one coherent frontend system, not as disconnected pages. Start with the repository/backend audit and shared architecture. Build the AI Concierge → authentication → case journey before expanding into the full workspace. Use the six locked service families consistently. Reuse the component system across all surfaces. Keep backend state, permissions, pricing, payments and evidence authoritative on the server.</w:t>
      </w:r>
    </w:p>
    <w:p>
      <w:r>
        <w:t>The completion condition is not simply that every page exists. The product is complete when the critical customer journey works end-to-end, all six services are coherently represented, protected data remains secure, and the frontend passes the QA/UAT release gates.</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