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MASTER SERVICES FRONT-END &amp; ENGINEERING SPECIFICATION</w:t>
      </w:r>
    </w:p>
    <w:p>
      <w:pPr>
        <w:jc w:val="center"/>
      </w:pPr>
      <w:r>
        <w:rPr>
          <w:i/>
        </w:rPr>
        <w:t>Authoritative customer-facing service architecture • Six locked service families</w:t>
        <w:br/>
        <w:t>Version 1.0 • 15 August 2026</w:t>
      </w:r>
    </w:p>
    <w:p>
      <w:pPr>
        <w:pStyle w:val="Heading1"/>
      </w:pPr>
      <w:r>
        <w:t>1. Document purpose</w:t>
      </w:r>
    </w:p>
    <w:p>
      <w:r>
        <w:t>This document consolidates the six ASOJU service-page blueprints into one developer-facing frontend specification. It is the authoritative customer-facing presentation and interaction baseline for ASOJU Arrivals, ASOJU Inspect, ASOJU Build, ASOJU Care, ASOJU Verify and ASOJU Assist.</w:t>
      </w:r>
    </w:p>
    <w:p>
      <w:r>
        <w:t>The document preserves the six-family architecture while requiring the frontend to remain aligned with the existing backend case engine, service configuration, quote/payment workflow, permissions, evidence controls and QC states.</w:t>
      </w:r>
    </w:p>
    <w:p>
      <w:pPr>
        <w:pStyle w:val="Heading1"/>
      </w:pPr>
      <w:r>
        <w:t>2. Locked six-service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Locked homepage promise</w:t>
            </w:r>
          </w:p>
        </w:tc>
        <w:tc>
          <w:tcPr>
            <w:tcW w:type="dxa" w:w="3408"/>
          </w:tcPr>
          <w:p>
            <w:r>
              <w:t>Primary customer problem</w:t>
            </w:r>
          </w:p>
        </w:tc>
      </w:tr>
      <w:tr>
        <w:tc>
          <w:tcPr>
            <w:tcW w:type="dxa" w:w="3408"/>
          </w:tcPr>
          <w:p>
            <w:r>
              <w:t>ASOJU Arrivals</w:t>
            </w:r>
          </w:p>
        </w:tc>
        <w:tc>
          <w:tcPr>
            <w:tcW w:type="dxa" w:w="3408"/>
          </w:tcPr>
          <w:p>
            <w:r>
              <w:t>Arrive in Nigeria with trusted support on the ground.</w:t>
            </w:r>
          </w:p>
        </w:tc>
        <w:tc>
          <w:tcPr>
            <w:tcW w:type="dxa" w:w="3408"/>
          </w:tcPr>
          <w:p>
            <w:r>
              <w:t>Arrival preparation, transport, accommodation and on-the-ground arrival coordination.</w:t>
            </w:r>
          </w:p>
        </w:tc>
      </w:tr>
      <w:tr>
        <w:tc>
          <w:tcPr>
            <w:tcW w:type="dxa" w:w="3408"/>
          </w:tcPr>
          <w:p>
            <w:r>
              <w:t>ASOJU Inspect</w:t>
            </w:r>
          </w:p>
        </w:tc>
        <w:tc>
          <w:tcPr>
            <w:tcW w:type="dxa" w:w="3408"/>
          </w:tcPr>
          <w:p>
            <w:r>
              <w:t>Know what is happening on the ground.</w:t>
            </w:r>
          </w:p>
        </w:tc>
        <w:tc>
          <w:tcPr>
            <w:tcW w:type="dxa" w:w="3408"/>
          </w:tcPr>
          <w:p>
            <w:r>
              <w:t>Physical property, asset or site inspection/checking.</w:t>
            </w:r>
          </w:p>
        </w:tc>
      </w:tr>
      <w:tr>
        <w:tc>
          <w:tcPr>
            <w:tcW w:type="dxa" w:w="3408"/>
          </w:tcPr>
          <w:p>
            <w:r>
              <w:t>ASOJU Build</w:t>
            </w:r>
          </w:p>
        </w:tc>
        <w:tc>
          <w:tcPr>
            <w:tcW w:type="dxa" w:w="3408"/>
          </w:tcPr>
          <w:p>
            <w:r>
              <w:t>Keep your project moving, even from abroad.</w:t>
            </w:r>
          </w:p>
        </w:tc>
        <w:tc>
          <w:tcPr>
            <w:tcW w:type="dxa" w:w="3408"/>
          </w:tcPr>
          <w:p>
            <w:r>
              <w:t>Construction/project supervision and monitoring.</w:t>
            </w:r>
          </w:p>
        </w:tc>
      </w:tr>
      <w:tr>
        <w:tc>
          <w:tcPr>
            <w:tcW w:type="dxa" w:w="3408"/>
          </w:tcPr>
          <w:p>
            <w:r>
              <w:t>ASOJU Care</w:t>
            </w:r>
          </w:p>
        </w:tc>
        <w:tc>
          <w:tcPr>
            <w:tcW w:type="dxa" w:w="3408"/>
          </w:tcPr>
          <w:p>
            <w:r>
              <w:t>Be there for the people who matter, even when you're far away.</w:t>
            </w:r>
          </w:p>
        </w:tc>
        <w:tc>
          <w:tcPr>
            <w:tcW w:type="dxa" w:w="3408"/>
          </w:tcPr>
          <w:p>
            <w:r>
              <w:t>Supported family/personal matters and local representation.</w:t>
            </w:r>
          </w:p>
        </w:tc>
      </w:tr>
      <w:tr>
        <w:tc>
          <w:tcPr>
            <w:tcW w:type="dxa" w:w="3408"/>
          </w:tcPr>
          <w:p>
            <w:r>
              <w:t>ASOJU Verify</w:t>
            </w:r>
          </w:p>
        </w:tc>
        <w:tc>
          <w:tcPr>
            <w:tcW w:type="dxa" w:w="3408"/>
          </w:tcPr>
          <w:p>
            <w:r>
              <w:t>Know who and what you're dealing with.</w:t>
            </w:r>
          </w:p>
        </w:tc>
        <w:tc>
          <w:tcPr>
            <w:tcW w:type="dxa" w:w="3408"/>
          </w:tcPr>
          <w:p>
            <w:r>
              <w:t>Supported verification and due-diligence requests.</w:t>
            </w:r>
          </w:p>
        </w:tc>
      </w:tr>
      <w:tr>
        <w:tc>
          <w:tcPr>
            <w:tcW w:type="dxa" w:w="3408"/>
          </w:tcPr>
          <w:p>
            <w:r>
              <w:t>ASOJU Assist</w:t>
            </w:r>
          </w:p>
        </w:tc>
        <w:tc>
          <w:tcPr>
            <w:tcW w:type="dxa" w:w="3408"/>
          </w:tcPr>
          <w:p>
            <w:r>
              <w:t>When something needs to be done in Nigeria, ASOJU can handle it for you.</w:t>
            </w:r>
          </w:p>
        </w:tc>
        <w:tc>
          <w:tcPr>
            <w:tcW w:type="dxa" w:w="3408"/>
          </w:tcPr>
          <w:p>
            <w:r>
              <w:t>Flexible supported tasks that do not naturally belong to the other five families.</w:t>
            </w:r>
          </w:p>
        </w:tc>
      </w:tr>
    </w:tbl>
    <w:p>
      <w:r>
        <w:t>Farewell is excluded from the public service architecture.</w:t>
      </w:r>
    </w:p>
    <w:p>
      <w:pPr>
        <w:pStyle w:val="Heading1"/>
      </w:pPr>
      <w:r>
        <w:t>3. Global customer journey</w:t>
      </w:r>
    </w:p>
    <w:p>
      <w:r>
        <w:t>All six service pages should converge on the same core journey:</w:t>
      </w:r>
    </w:p>
    <w:p>
      <w:r>
        <w:t>Discover → AI Concierge → Describe Need → Clarify → Structured Request → Sign In/Create Account → Formal Case → Scope → Quote → Payment → Execution → Evidence/Updates → Completion</w:t>
      </w:r>
    </w:p>
    <w:p>
      <w:pPr>
        <w:pStyle w:val="ListBullet"/>
      </w:pPr>
      <w:r>
        <w:t>Anonymous visitors may start the AI Concierge.</w:t>
      </w:r>
    </w:p>
    <w:p>
      <w:pPr>
        <w:pStyle w:val="ListBullet"/>
      </w:pPr>
      <w:r>
        <w:t>Authentication is required before formal case creation.</w:t>
      </w:r>
    </w:p>
    <w:p>
      <w:pPr>
        <w:pStyle w:val="ListBullet"/>
      </w:pPr>
      <w:r>
        <w:t>Quote and payment progression occurs through authenticated workflows.</w:t>
      </w:r>
    </w:p>
    <w:p>
      <w:pPr>
        <w:pStyle w:val="ListBullet"/>
      </w:pPr>
      <w:r>
        <w:t>Backend state is authoritative for case, quote, payment, assignment, evidence and completion.</w:t>
      </w:r>
    </w:p>
    <w:p>
      <w:pPr>
        <w:pStyle w:val="ListBullet"/>
      </w:pPr>
      <w:r>
        <w:t>Do not claim a case, quote, booking or payment exists until backend confirmation.</w:t>
      </w:r>
    </w:p>
    <w:p>
      <w:pPr>
        <w:pStyle w:val="Heading1"/>
      </w:pPr>
      <w:r>
        <w:t>4. Global service-page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Shared component/behavior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Global ASOJU header with locked six-service menu.</w:t>
            </w:r>
          </w:p>
        </w:tc>
      </w:tr>
      <w:tr>
        <w:tc>
          <w:tcPr>
            <w:tcW w:type="dxa" w:w="5112"/>
          </w:tcPr>
          <w:p>
            <w:r>
              <w:t>Hero</w:t>
            </w:r>
          </w:p>
        </w:tc>
        <w:tc>
          <w:tcPr>
            <w:tcW w:type="dxa" w:w="5112"/>
          </w:tcPr>
          <w:p>
            <w:r>
              <w:t>Service name, locked promise, supporting proposition and Concierge.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Service-specific prompt + examples using common Concierge state machine.</w:t>
            </w:r>
          </w:p>
        </w:tc>
      </w:tr>
      <w:tr>
        <w:tc>
          <w:tcPr>
            <w:tcW w:type="dxa" w:w="5112"/>
          </w:tcPr>
          <w:p>
            <w:r>
              <w:t>Scope/use cases</w:t>
            </w:r>
          </w:p>
        </w:tc>
        <w:tc>
          <w:tcPr>
            <w:tcW w:type="dxa" w:w="5112"/>
          </w:tcPr>
          <w:p>
            <w:r>
              <w:t>Service-specific content mapped to actual configured capabilities.</w:t>
            </w:r>
          </w:p>
        </w:tc>
      </w:tr>
      <w:tr>
        <w:tc>
          <w:tcPr>
            <w:tcW w:type="dxa" w:w="5112"/>
          </w:tcPr>
          <w:p>
            <w:r>
              <w:t>How it works</w:t>
            </w:r>
          </w:p>
        </w:tc>
        <w:tc>
          <w:tcPr>
            <w:tcW w:type="dxa" w:w="5112"/>
          </w:tcPr>
          <w:p>
            <w:r>
              <w:t>Common four-step representation/process story.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Scope, accountability, visibility, evidence and relevant QC principles.</w:t>
            </w:r>
          </w:p>
        </w:tc>
      </w:tr>
      <w:tr>
        <w:tc>
          <w:tcPr>
            <w:tcW w:type="dxa" w:w="5112"/>
          </w:tcPr>
          <w:p>
            <w:r>
              <w:t>Outcome</w:t>
            </w:r>
          </w:p>
        </w:tc>
        <w:tc>
          <w:tcPr>
            <w:tcW w:type="dxa" w:w="5112"/>
          </w:tcPr>
          <w:p>
            <w:r>
              <w:t>What the customer receives according to confirmed scope.</w:t>
            </w:r>
          </w:p>
        </w:tc>
      </w:tr>
      <w:tr>
        <w:tc>
          <w:tcPr>
            <w:tcW w:type="dxa" w:w="5112"/>
          </w:tcPr>
          <w:p>
            <w:r>
              <w:t>FAQ</w:t>
            </w:r>
          </w:p>
        </w:tc>
        <w:tc>
          <w:tcPr>
            <w:tcW w:type="dxa" w:w="5112"/>
          </w:tcPr>
          <w:p>
            <w:r>
              <w:t>Verified policy/capability answers; no invented promises.</w:t>
            </w:r>
          </w:p>
        </w:tc>
      </w:tr>
      <w:tr>
        <w:tc>
          <w:tcPr>
            <w:tcW w:type="dxa" w:w="5112"/>
          </w:tcPr>
          <w:p>
            <w:r>
              <w:t>Final CTA</w:t>
            </w:r>
          </w:p>
        </w:tc>
        <w:tc>
          <w:tcPr>
            <w:tcW w:type="dxa" w:w="5112"/>
          </w:tcPr>
          <w:p>
            <w:r>
              <w:t>Return to same Concierge entry path.</w:t>
            </w:r>
          </w:p>
        </w:tc>
      </w:tr>
      <w:tr>
        <w:tc>
          <w:tcPr>
            <w:tcW w:type="dxa" w:w="5112"/>
          </w:tcPr>
          <w:p>
            <w:r>
              <w:t>Footer</w:t>
            </w:r>
          </w:p>
        </w:tc>
        <w:tc>
          <w:tcPr>
            <w:tcW w:type="dxa" w:w="5112"/>
          </w:tcPr>
          <w:p>
            <w:r>
              <w:t>Global ASOJU links.</w:t>
            </w:r>
          </w:p>
        </w:tc>
      </w:tr>
    </w:tbl>
    <w:p>
      <w:pPr>
        <w:pStyle w:val="Heading1"/>
      </w:pPr>
      <w:r>
        <w:t>5. Shared Concierge component</w:t>
      </w:r>
    </w:p>
    <w:p>
      <w:pPr>
        <w:pStyle w:val="Heading2"/>
      </w:pPr>
      <w:r>
        <w:t>5.1 Core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Idle</w:t>
            </w:r>
          </w:p>
        </w:tc>
        <w:tc>
          <w:tcPr>
            <w:tcW w:type="dxa" w:w="5112"/>
          </w:tcPr>
          <w:p>
            <w:r>
              <w:t>Prompt, examples, input, primary action; no sign-in.</w:t>
            </w:r>
          </w:p>
        </w:tc>
      </w:tr>
      <w:tr>
        <w:tc>
          <w:tcPr>
            <w:tcW w:type="dxa" w:w="5112"/>
          </w:tcPr>
          <w:p>
            <w:r>
              <w:t>Typing/sending</w:t>
            </w:r>
          </w:p>
        </w:tc>
        <w:tc>
          <w:tcPr>
            <w:tcW w:type="dxa" w:w="5112"/>
          </w:tcPr>
          <w:p>
            <w:r>
              <w:t>Clear progress state; prevent duplicate sends.</w:t>
            </w:r>
          </w:p>
        </w:tc>
      </w:tr>
      <w:tr>
        <w:tc>
          <w:tcPr>
            <w:tcW w:type="dxa" w:w="5112"/>
          </w:tcPr>
          <w:p>
            <w:r>
              <w:t>Conversation</w:t>
            </w:r>
          </w:p>
        </w:tc>
        <w:tc>
          <w:tcPr>
            <w:tcW w:type="dxa" w:w="5112"/>
          </w:tcPr>
          <w:p>
            <w:r>
              <w:t>Conversation plus clarifying questions.</w:t>
            </w:r>
          </w:p>
        </w:tc>
      </w:tr>
      <w:tr>
        <w:tc>
          <w:tcPr>
            <w:tcW w:type="dxa" w:w="5112"/>
          </w:tcPr>
          <w:p>
            <w:r>
              <w:t>Structured request</w:t>
            </w:r>
          </w:p>
        </w:tc>
        <w:tc>
          <w:tcPr>
            <w:tcW w:type="dxa" w:w="5112"/>
          </w:tcPr>
          <w:p>
            <w:r>
              <w:t>Summary of service family, objective, scope and missing details.</w:t>
            </w:r>
          </w:p>
        </w:tc>
      </w:tr>
      <w:tr>
        <w:tc>
          <w:tcPr>
            <w:tcW w:type="dxa" w:w="5112"/>
          </w:tcPr>
          <w:p>
            <w:r>
              <w:t>Authentication gate</w:t>
            </w:r>
          </w:p>
        </w:tc>
        <w:tc>
          <w:tcPr>
            <w:tcW w:type="dxa" w:w="5112"/>
          </w:tcPr>
          <w:p>
            <w:r>
              <w:t>Sign In / Create Account; preserve safe request context.</w:t>
            </w:r>
          </w:p>
        </w:tc>
      </w:tr>
      <w:tr>
        <w:tc>
          <w:tcPr>
            <w:tcW w:type="dxa" w:w="5112"/>
          </w:tcPr>
          <w:p>
            <w:r>
              <w:t>Authenticated continuation</w:t>
            </w:r>
          </w:p>
        </w:tc>
        <w:tc>
          <w:tcPr>
            <w:tcW w:type="dxa" w:w="5112"/>
          </w:tcPr>
          <w:p>
            <w:r>
              <w:t>Restore prepared request without restarting.</w:t>
            </w:r>
          </w:p>
        </w:tc>
      </w:tr>
      <w:tr>
        <w:tc>
          <w:tcPr>
            <w:tcW w:type="dxa" w:w="5112"/>
          </w:tcPr>
          <w:p>
            <w:r>
              <w:t>Case creation</w:t>
            </w:r>
          </w:p>
        </w:tc>
        <w:tc>
          <w:tcPr>
            <w:tcW w:type="dxa" w:w="5112"/>
          </w:tcPr>
          <w:p>
            <w:r>
              <w:t>Authoritative loading; duplicate-safe submission.</w:t>
            </w:r>
          </w:p>
        </w:tc>
      </w:tr>
      <w:tr>
        <w:tc>
          <w:tcPr>
            <w:tcW w:type="dxa" w:w="5112"/>
          </w:tcPr>
          <w:p>
            <w:r>
              <w:t>Success</w:t>
            </w:r>
          </w:p>
        </w:tc>
        <w:tc>
          <w:tcPr>
            <w:tcW w:type="dxa" w:w="5112"/>
          </w:tcPr>
          <w:p>
            <w:r>
              <w:t>Route to confirmed case state only after backend success.</w:t>
            </w:r>
          </w:p>
        </w:tc>
      </w:tr>
      <w:tr>
        <w:tc>
          <w:tcPr>
            <w:tcW w:type="dxa" w:w="5112"/>
          </w:tcPr>
          <w:p>
            <w:r>
              <w:t>AI failure</w:t>
            </w:r>
          </w:p>
        </w:tc>
        <w:tc>
          <w:tcPr>
            <w:tcW w:type="dxa" w:w="5112"/>
          </w:tcPr>
          <w:p>
            <w:r>
              <w:t>Clear fallback/retry without fabricating results.</w:t>
            </w:r>
          </w:p>
        </w:tc>
      </w:tr>
      <w:tr>
        <w:tc>
          <w:tcPr>
            <w:tcW w:type="dxa" w:w="5112"/>
          </w:tcPr>
          <w:p>
            <w:r>
              <w:t>Network failure</w:t>
            </w:r>
          </w:p>
        </w:tc>
        <w:tc>
          <w:tcPr>
            <w:tcW w:type="dxa" w:w="5112"/>
          </w:tcPr>
          <w:p>
            <w:r>
              <w:t>Preserve safe draft and offer retry.</w:t>
            </w:r>
          </w:p>
        </w:tc>
      </w:tr>
    </w:tbl>
    <w:p>
      <w:pPr>
        <w:pStyle w:val="Heading1"/>
      </w:pPr>
      <w:r>
        <w:t>5.2 Service classification</w:t>
      </w:r>
    </w:p>
    <w:p>
      <w:r>
        <w:t>The Concierge may help determine which service family best fits the customer's request. Assist should not become an 'anything' bucket by default; the Concierge should route requests to Arrivals, Inspect, Build, Care or Verify when those are clearly the better fit.</w:t>
      </w:r>
    </w:p>
    <w:p>
      <w:pPr>
        <w:pStyle w:val="Heading1"/>
      </w:pPr>
      <w:r>
        <w:t>6. Shared header/navigation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Behavior</w:t>
            </w:r>
          </w:p>
        </w:tc>
      </w:tr>
      <w:tr>
        <w:tc>
          <w:tcPr>
            <w:tcW w:type="dxa" w:w="5112"/>
          </w:tcPr>
          <w:p>
            <w:r>
              <w:t>Services ▾</w:t>
            </w:r>
          </w:p>
        </w:tc>
        <w:tc>
          <w:tcPr>
            <w:tcW w:type="dxa" w:w="5112"/>
          </w:tcPr>
          <w:p>
            <w:r>
              <w:t>Contains exactly the six locked service families.</w:t>
            </w:r>
          </w:p>
        </w:tc>
      </w:tr>
      <w:tr>
        <w:tc>
          <w:tcPr>
            <w:tcW w:type="dxa" w:w="5112"/>
          </w:tcPr>
          <w:p>
            <w:r>
              <w:t>How It Works</w:t>
            </w:r>
          </w:p>
        </w:tc>
        <w:tc>
          <w:tcPr>
            <w:tcW w:type="dxa" w:w="5112"/>
          </w:tcPr>
          <w:p>
            <w:r>
              <w:t>Global explanation.</w:t>
            </w:r>
          </w:p>
        </w:tc>
      </w:tr>
      <w:tr>
        <w:tc>
          <w:tcPr>
            <w:tcW w:type="dxa" w:w="5112"/>
          </w:tcPr>
          <w:p>
            <w:r>
              <w:t>Why ASOJU</w:t>
            </w:r>
          </w:p>
        </w:tc>
        <w:tc>
          <w:tcPr>
            <w:tcW w:type="dxa" w:w="5112"/>
          </w:tcPr>
          <w:p>
            <w:r>
              <w:t>Trust/accountability explanation.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Public proof where approved.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Educational content.</w:t>
            </w:r>
          </w:p>
        </w:tc>
      </w:tr>
      <w:tr>
        <w:tc>
          <w:tcPr>
            <w:tcW w:type="dxa" w:w="5112"/>
          </w:tcPr>
          <w:p>
            <w:r>
              <w:t>Sign In</w:t>
            </w:r>
          </w:p>
        </w:tc>
        <w:tc>
          <w:tcPr>
            <w:tcW w:type="dxa" w:w="5112"/>
          </w:tcPr>
          <w:p>
            <w:r>
              <w:t>Authentication.</w:t>
            </w:r>
          </w:p>
        </w:tc>
      </w:tr>
      <w:tr>
        <w:tc>
          <w:tcPr>
            <w:tcW w:type="dxa" w:w="5112"/>
          </w:tcPr>
          <w:p>
            <w:r>
              <w:t>Get Started</w:t>
            </w:r>
          </w:p>
        </w:tc>
        <w:tc>
          <w:tcPr>
            <w:tcW w:type="dxa" w:w="5112"/>
          </w:tcPr>
          <w:p>
            <w:r>
              <w:t>Primary Concierge entry point.</w:t>
            </w:r>
          </w:p>
        </w:tc>
      </w:tr>
    </w:tbl>
    <w:p>
      <w:r>
        <w:t>Mobile header: menu trigger + ASOJU logo + Get Started.</w:t>
      </w:r>
    </w:p>
    <w:p>
      <w:pPr>
        <w:pStyle w:val="Heading1"/>
      </w:pPr>
      <w:r>
        <w:t>7. Service-specific specification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Service</w:t>
            </w:r>
          </w:p>
        </w:tc>
        <w:tc>
          <w:tcPr>
            <w:tcW w:type="dxa" w:w="2556"/>
          </w:tcPr>
          <w:p>
            <w:r>
              <w:t>Hero</w:t>
            </w:r>
          </w:p>
        </w:tc>
        <w:tc>
          <w:tcPr>
            <w:tcW w:type="dxa" w:w="2556"/>
          </w:tcPr>
          <w:p>
            <w:r>
              <w:t>Concierge focus</w:t>
            </w:r>
          </w:p>
        </w:tc>
        <w:tc>
          <w:tcPr>
            <w:tcW w:type="dxa" w:w="2556"/>
          </w:tcPr>
          <w:p>
            <w:r>
              <w:t>Key scope</w:t>
            </w:r>
          </w:p>
        </w:tc>
      </w:tr>
      <w:tr>
        <w:tc>
          <w:tcPr>
            <w:tcW w:type="dxa" w:w="2556"/>
          </w:tcPr>
          <w:p>
            <w:r>
              <w:t>Arrivals</w:t>
            </w:r>
          </w:p>
        </w:tc>
        <w:tc>
          <w:tcPr>
            <w:tcW w:type="dxa" w:w="2556"/>
          </w:tcPr>
          <w:p>
            <w:r>
              <w:t>Arrive in Nigeria with trusted support on the ground.</w:t>
            </w:r>
          </w:p>
        </w:tc>
        <w:tc>
          <w:tcPr>
            <w:tcW w:type="dxa" w:w="2556"/>
          </w:tcPr>
          <w:p>
            <w:r>
              <w:t>Arrival date/location, transport, accommodation, arrival coordination.</w:t>
            </w:r>
          </w:p>
        </w:tc>
        <w:tc>
          <w:tcPr>
            <w:tcW w:type="dxa" w:w="2556"/>
          </w:tcPr>
          <w:p>
            <w:r>
              <w:t>Transport, accommodation, arrival support and local representation.</w:t>
            </w:r>
          </w:p>
        </w:tc>
      </w:tr>
      <w:tr>
        <w:tc>
          <w:tcPr>
            <w:tcW w:type="dxa" w:w="2556"/>
          </w:tcPr>
          <w:p>
            <w:r>
              <w:t>Inspect</w:t>
            </w:r>
          </w:p>
        </w:tc>
        <w:tc>
          <w:tcPr>
            <w:tcW w:type="dxa" w:w="2556"/>
          </w:tcPr>
          <w:p>
            <w:r>
              <w:t>Know what is happening on the ground.</w:t>
            </w:r>
          </w:p>
        </w:tc>
        <w:tc>
          <w:tcPr>
            <w:tcW w:type="dxa" w:w="2556"/>
          </w:tcPr>
          <w:p>
            <w:r>
              <w:t>What, where, objective and evidence required.</w:t>
            </w:r>
          </w:p>
        </w:tc>
        <w:tc>
          <w:tcPr>
            <w:tcW w:type="dxa" w:w="2556"/>
          </w:tcPr>
          <w:p>
            <w:r>
              <w:t>Property, asset and site inspection/checking.</w:t>
            </w:r>
          </w:p>
        </w:tc>
      </w:tr>
      <w:tr>
        <w:tc>
          <w:tcPr>
            <w:tcW w:type="dxa" w:w="2556"/>
          </w:tcPr>
          <w:p>
            <w:r>
              <w:t>Build</w:t>
            </w:r>
          </w:p>
        </w:tc>
        <w:tc>
          <w:tcPr>
            <w:tcW w:type="dxa" w:w="2556"/>
          </w:tcPr>
          <w:p>
            <w:r>
              <w:t>Keep your project moving, even from abroad.</w:t>
            </w:r>
          </w:p>
        </w:tc>
        <w:tc>
          <w:tcPr>
            <w:tcW w:type="dxa" w:w="2556"/>
          </w:tcPr>
          <w:p>
            <w:r>
              <w:t>Project location, type, activities, visit frequency and evidence.</w:t>
            </w:r>
          </w:p>
        </w:tc>
        <w:tc>
          <w:tcPr>
            <w:tcW w:type="dxa" w:w="2556"/>
          </w:tcPr>
          <w:p>
            <w:r>
              <w:t>Construction supervision/project monitoring.</w:t>
            </w:r>
          </w:p>
        </w:tc>
      </w:tr>
      <w:tr>
        <w:tc>
          <w:tcPr>
            <w:tcW w:type="dxa" w:w="2556"/>
          </w:tcPr>
          <w:p>
            <w:r>
              <w:t>Care</w:t>
            </w:r>
          </w:p>
        </w:tc>
        <w:tc>
          <w:tcPr>
            <w:tcW w:type="dxa" w:w="2556"/>
          </w:tcPr>
          <w:p>
            <w:r>
              <w:t>Be there for the people who matter, even when you're far away.</w:t>
            </w:r>
          </w:p>
        </w:tc>
        <w:tc>
          <w:tcPr>
            <w:tcW w:type="dxa" w:w="2556"/>
          </w:tcPr>
          <w:p>
            <w:r>
              <w:t>Who needs help, location, situation and desired outcome.</w:t>
            </w:r>
          </w:p>
        </w:tc>
        <w:tc>
          <w:tcPr>
            <w:tcW w:type="dxa" w:w="2556"/>
          </w:tcPr>
          <w:p>
            <w:r>
              <w:t>Supported family/personal matters.</w:t>
            </w:r>
          </w:p>
        </w:tc>
      </w:tr>
      <w:tr>
        <w:tc>
          <w:tcPr>
            <w:tcW w:type="dxa" w:w="2556"/>
          </w:tcPr>
          <w:p>
            <w:r>
              <w:t>Verify</w:t>
            </w:r>
          </w:p>
        </w:tc>
        <w:tc>
          <w:tcPr>
            <w:tcW w:type="dxa" w:w="2556"/>
          </w:tcPr>
          <w:p>
            <w:r>
              <w:t>Know who and what you're dealing with.</w:t>
            </w:r>
          </w:p>
        </w:tc>
        <w:tc>
          <w:tcPr>
            <w:tcW w:type="dxa" w:w="2556"/>
          </w:tcPr>
          <w:p>
            <w:r>
              <w:t>Subject, purpose, verification criteria and desired evidence.</w:t>
            </w:r>
          </w:p>
        </w:tc>
        <w:tc>
          <w:tcPr>
            <w:tcW w:type="dxa" w:w="2556"/>
          </w:tcPr>
          <w:p>
            <w:r>
              <w:t>Business/vendor/party/document and other configured verification.</w:t>
            </w:r>
          </w:p>
        </w:tc>
      </w:tr>
      <w:tr>
        <w:tc>
          <w:tcPr>
            <w:tcW w:type="dxa" w:w="2556"/>
          </w:tcPr>
          <w:p>
            <w:r>
              <w:t>Assist</w:t>
            </w:r>
          </w:p>
        </w:tc>
        <w:tc>
          <w:tcPr>
            <w:tcW w:type="dxa" w:w="2556"/>
          </w:tcPr>
          <w:p>
            <w:r>
              <w:t>When something needs to be done in Nigeria, ASOJU can handle it for you.</w:t>
            </w:r>
          </w:p>
        </w:tc>
        <w:tc>
          <w:tcPr>
            <w:tcW w:type="dxa" w:w="2556"/>
          </w:tcPr>
          <w:p>
            <w:r>
              <w:t>Task, location, timing, dependencies and desired outcome.</w:t>
            </w:r>
          </w:p>
        </w:tc>
        <w:tc>
          <w:tcPr>
            <w:tcW w:type="dxa" w:w="2556"/>
          </w:tcPr>
          <w:p>
            <w:r>
              <w:t>Procurement, collection/delivery, agriculture, investment support and other configured tasks.</w:t>
            </w:r>
          </w:p>
        </w:tc>
      </w:tr>
    </w:tbl>
    <w:p>
      <w:pPr>
        <w:pStyle w:val="Heading1"/>
      </w:pPr>
      <w:r>
        <w:t>8. ASOJU Arrivals</w:t>
      </w:r>
    </w:p>
    <w:p>
      <w:r>
        <w:t>Arrivals explicitly includes the ability to help secure and coordinate transport and accommodation, alongside arrival-day and pre-arrival support.</w:t>
      </w:r>
    </w:p>
    <w:p>
      <w:pPr>
        <w:pStyle w:val="ListBullet"/>
      </w:pPr>
      <w:r>
        <w:t>Airport/arrival transport.</w:t>
      </w:r>
    </w:p>
    <w:p>
      <w:pPr>
        <w:pStyle w:val="ListBullet"/>
      </w:pPr>
      <w:r>
        <w:t>Local transport coordination.</w:t>
      </w:r>
    </w:p>
    <w:p>
      <w:pPr>
        <w:pStyle w:val="ListBullet"/>
      </w:pPr>
      <w:r>
        <w:t>Accommodation sourcing/booking coordination.</w:t>
      </w:r>
    </w:p>
    <w:p>
      <w:pPr>
        <w:pStyle w:val="ListBullet"/>
      </w:pPr>
      <w:r>
        <w:t>Arrival-day coordination.</w:t>
      </w:r>
    </w:p>
    <w:p>
      <w:pPr>
        <w:pStyle w:val="ListBullet"/>
      </w:pPr>
      <w:r>
        <w:t>Pre-arrival preparation.</w:t>
      </w:r>
    </w:p>
    <w:p>
      <w:pPr>
        <w:pStyle w:val="ListBullet"/>
      </w:pPr>
      <w:r>
        <w:t>Family/guest arrival support.</w:t>
      </w:r>
    </w:p>
    <w:p>
      <w:pPr>
        <w:pStyle w:val="ListBullet"/>
      </w:pPr>
      <w:r>
        <w:t>Local representation.</w:t>
      </w:r>
    </w:p>
    <w:p>
      <w:r>
        <w:t>Provider availability, price, booking confirmation and cancellation terms must be backend/provider-authoritative.</w:t>
      </w:r>
    </w:p>
    <w:p>
      <w:pPr>
        <w:pStyle w:val="Heading1"/>
      </w:pPr>
      <w:r>
        <w:t>9. ASOJU Inspect</w:t>
      </w:r>
    </w:p>
    <w:p>
      <w:pPr>
        <w:pStyle w:val="ListBullet"/>
      </w:pPr>
      <w:r>
        <w:t>Property inspection.</w:t>
      </w:r>
    </w:p>
    <w:p>
      <w:pPr>
        <w:pStyle w:val="ListBullet"/>
      </w:pPr>
      <w:r>
        <w:t>Asset checks.</w:t>
      </w:r>
    </w:p>
    <w:p>
      <w:pPr>
        <w:pStyle w:val="ListBullet"/>
      </w:pPr>
      <w:r>
        <w:t>Site inspection.</w:t>
      </w:r>
    </w:p>
    <w:p>
      <w:pPr>
        <w:pStyle w:val="ListBullet"/>
      </w:pPr>
      <w:r>
        <w:t>Observable condition/progress checks within scope.</w:t>
      </w:r>
    </w:p>
    <w:p>
      <w:pPr>
        <w:pStyle w:val="ListBullet"/>
      </w:pPr>
      <w:r>
        <w:t>Evidence capture and report/completion information where configured.</w:t>
      </w:r>
    </w:p>
    <w:p>
      <w:pPr>
        <w:pStyle w:val="ListBullet"/>
      </w:pPr>
      <w:r>
        <w:t>QC/rework/revisit states where supported.</w:t>
      </w:r>
    </w:p>
    <w:p>
      <w:r>
        <w:t>Inspect is not Construction Supervision. That belongs to Build.</w:t>
      </w:r>
    </w:p>
    <w:p>
      <w:pPr>
        <w:pStyle w:val="Heading1"/>
      </w:pPr>
      <w:r>
        <w:t>10. ASOJU Build</w:t>
      </w:r>
    </w:p>
    <w:p>
      <w:pPr>
        <w:pStyle w:val="ListBullet"/>
      </w:pPr>
      <w:r>
        <w:t>Construction supervision.</w:t>
      </w:r>
    </w:p>
    <w:p>
      <w:pPr>
        <w:pStyle w:val="ListBullet"/>
      </w:pPr>
      <w:r>
        <w:t>Project/site progress monitoring.</w:t>
      </w:r>
    </w:p>
    <w:p>
      <w:pPr>
        <w:pStyle w:val="ListBullet"/>
      </w:pPr>
      <w:r>
        <w:t>Recurring site visits where configured.</w:t>
      </w:r>
    </w:p>
    <w:p>
      <w:pPr>
        <w:pStyle w:val="ListBullet"/>
      </w:pPr>
      <w:r>
        <w:t>Evidence capture.</w:t>
      </w:r>
    </w:p>
    <w:p>
      <w:pPr>
        <w:pStyle w:val="ListBullet"/>
      </w:pPr>
      <w:r>
        <w:t>Milestone verification.</w:t>
      </w:r>
    </w:p>
    <w:p>
      <w:pPr>
        <w:pStyle w:val="ListBullet"/>
      </w:pPr>
      <w:r>
        <w:t>Contractor/project oversight within agreed scope.</w:t>
      </w:r>
    </w:p>
    <w:p>
      <w:pPr>
        <w:pStyle w:val="ListBullet"/>
      </w:pPr>
      <w:r>
        <w:t>Exception/incident escalation through the controlled workflow.</w:t>
      </w:r>
    </w:p>
    <w:p>
      <w:r>
        <w:t>Do not imply professional engineering, architectural, legal or certification services unless explicitly configured and qualified.</w:t>
      </w:r>
    </w:p>
    <w:p>
      <w:pPr>
        <w:pStyle w:val="Heading1"/>
      </w:pPr>
      <w:r>
        <w:t>11. ASOJU Care</w:t>
      </w:r>
    </w:p>
    <w:p>
      <w:r>
        <w:t>Care is intentionally request-led because the source documentation confirms Family Support but does not define a complete granular catalogue.</w:t>
      </w:r>
    </w:p>
    <w:p>
      <w:pPr>
        <w:pStyle w:val="ListBullet"/>
      </w:pPr>
      <w:r>
        <w:t>Supported family/personal matters.</w:t>
      </w:r>
    </w:p>
    <w:p>
      <w:pPr>
        <w:pStyle w:val="ListBullet"/>
      </w:pPr>
      <w:r>
        <w:t>Local representation.</w:t>
      </w:r>
    </w:p>
    <w:p>
      <w:pPr>
        <w:pStyle w:val="ListBullet"/>
      </w:pPr>
      <w:r>
        <w:t>Family logistics.</w:t>
      </w:r>
    </w:p>
    <w:p>
      <w:pPr>
        <w:pStyle w:val="ListBullet"/>
      </w:pPr>
      <w:r>
        <w:t>Local check-in/support where configured.</w:t>
      </w:r>
    </w:p>
    <w:p>
      <w:pPr>
        <w:pStyle w:val="ListBullet"/>
      </w:pPr>
      <w:r>
        <w:t>Other safe, lawful, appropriately scoped family-related requests.</w:t>
      </w:r>
    </w:p>
    <w:p>
      <w:r>
        <w:t>Do not imply emergency medical response, clinical care, legal representation, financial advice or other regulated services unless separately configured.</w:t>
      </w:r>
    </w:p>
    <w:p>
      <w:pPr>
        <w:pStyle w:val="Heading1"/>
      </w:pPr>
      <w:r>
        <w:t>12. ASOJU Verify</w:t>
      </w:r>
    </w:p>
    <w:p>
      <w:pPr>
        <w:pStyle w:val="ListBullet"/>
      </w:pPr>
      <w:r>
        <w:t>Business verification.</w:t>
      </w:r>
    </w:p>
    <w:p>
      <w:pPr>
        <w:pStyle w:val="ListBullet"/>
      </w:pPr>
      <w:r>
        <w:t>Vendor verification.</w:t>
      </w:r>
    </w:p>
    <w:p>
      <w:pPr>
        <w:pStyle w:val="ListBullet"/>
      </w:pPr>
      <w:r>
        <w:t>Supported party/person verification.</w:t>
      </w:r>
    </w:p>
    <w:p>
      <w:pPr>
        <w:pStyle w:val="ListBullet"/>
      </w:pPr>
      <w:r>
        <w:t>Document/information verification.</w:t>
      </w:r>
    </w:p>
    <w:p>
      <w:pPr>
        <w:pStyle w:val="ListBullet"/>
      </w:pPr>
      <w:r>
        <w:t>Other configured due-diligence requests.</w:t>
      </w:r>
    </w:p>
    <w:p>
      <w:r>
        <w:t>Verify establishes agreed facts within scope. It must not promise investment safety, character certification, unrestricted background checks or unsupported legal/regulatory conclusions.</w:t>
      </w:r>
    </w:p>
    <w:p>
      <w:pPr>
        <w:pStyle w:val="Heading1"/>
      </w:pPr>
      <w:r>
        <w:t>13. ASOJU Assist</w:t>
      </w:r>
    </w:p>
    <w:p>
      <w:r>
        <w:t>Assist is the flexible service family for supported tasks that do not naturally belong to the other five families.</w:t>
      </w:r>
    </w:p>
    <w:p>
      <w:pPr>
        <w:pStyle w:val="ListBullet"/>
      </w:pPr>
      <w:r>
        <w:t>Procurement.</w:t>
      </w:r>
    </w:p>
    <w:p>
      <w:pPr>
        <w:pStyle w:val="ListBullet"/>
      </w:pPr>
      <w:r>
        <w:t>Collection/delivery coordination.</w:t>
      </w:r>
    </w:p>
    <w:p>
      <w:pPr>
        <w:pStyle w:val="ListBullet"/>
      </w:pPr>
      <w:r>
        <w:t>Agriculture support.</w:t>
      </w:r>
    </w:p>
    <w:p>
      <w:pPr>
        <w:pStyle w:val="ListBullet"/>
      </w:pPr>
      <w:r>
        <w:t>Investment-related local support without implying investment advice.</w:t>
      </w:r>
    </w:p>
    <w:p>
      <w:pPr>
        <w:pStyle w:val="ListBullet"/>
      </w:pPr>
      <w:r>
        <w:t>Other accepted tasks after Concierge classification and formal scoping.</w:t>
      </w:r>
    </w:p>
    <w:p>
      <w:r>
        <w:t>The backend determines whether a task is accepted. Assist is not an unlimited 'anything goes' promise.</w:t>
      </w:r>
    </w:p>
    <w:p>
      <w:pPr>
        <w:pStyle w:val="Heading1"/>
      </w:pPr>
      <w:r>
        <w:t>14. Shared case/quote/payment boundary</w:t>
      </w:r>
    </w:p>
    <w:p>
      <w:pPr>
        <w:pStyle w:val="ListBullet"/>
      </w:pPr>
      <w:r>
        <w:t>Customer-facing pages do not create authoritative cases in local browser state.</w:t>
      </w:r>
    </w:p>
    <w:p>
      <w:pPr>
        <w:pStyle w:val="ListBullet"/>
      </w:pPr>
      <w:r>
        <w:t>Case creation is server-authoritative and duplicate-safe.</w:t>
      </w:r>
    </w:p>
    <w:p>
      <w:pPr>
        <w:pStyle w:val="ListBullet"/>
      </w:pPr>
      <w:r>
        <w:t>Scope must be confirmed before quote.</w:t>
      </w:r>
    </w:p>
    <w:p>
      <w:pPr>
        <w:pStyle w:val="ListBullet"/>
      </w:pPr>
      <w:r>
        <w:t>Quote totals and quote status are server-authoritative.</w:t>
      </w:r>
    </w:p>
    <w:p>
      <w:pPr>
        <w:pStyle w:val="ListBullet"/>
      </w:pPr>
      <w:r>
        <w:t>Payment state is server-authoritative.</w:t>
      </w:r>
    </w:p>
    <w:p>
      <w:pPr>
        <w:pStyle w:val="ListBullet"/>
      </w:pPr>
      <w:r>
        <w:t>Expired quotes cannot be accepted.</w:t>
      </w:r>
    </w:p>
    <w:p>
      <w:pPr>
        <w:pStyle w:val="ListBullet"/>
      </w:pPr>
      <w:r>
        <w:t>Provider/booking availability is server/provider-authoritative.</w:t>
      </w:r>
    </w:p>
    <w:p>
      <w:pPr>
        <w:pStyle w:val="ListBullet"/>
      </w:pPr>
      <w:r>
        <w:t>Evidence/report access is permission-controlled and private.</w:t>
      </w:r>
    </w:p>
    <w:p>
      <w:pPr>
        <w:pStyle w:val="ListBullet"/>
      </w:pPr>
      <w:r>
        <w:t>Customer UI must not expose staff-only notes, risk flags or internal audit data.</w:t>
      </w:r>
    </w:p>
    <w:p>
      <w:pPr>
        <w:pStyle w:val="Heading1"/>
      </w:pPr>
      <w:r>
        <w:t>15. Evidence and QC</w:t>
      </w:r>
    </w:p>
    <w:p>
      <w:r>
        <w:t>Where a service uses field evidence or inspection/report workflows, the frontend should represent the configured lifecycle without inventing states.</w:t>
      </w:r>
    </w:p>
    <w:p>
      <w:pPr>
        <w:pStyle w:val="ListBullet"/>
      </w:pPr>
      <w:r>
        <w:t>Assigned.</w:t>
      </w:r>
    </w:p>
    <w:p>
      <w:pPr>
        <w:pStyle w:val="ListBullet"/>
      </w:pPr>
      <w:r>
        <w:t>In progress.</w:t>
      </w:r>
    </w:p>
    <w:p>
      <w:pPr>
        <w:pStyle w:val="ListBullet"/>
      </w:pPr>
      <w:r>
        <w:t>Submitted.</w:t>
      </w:r>
    </w:p>
    <w:p>
      <w:pPr>
        <w:pStyle w:val="ListBullet"/>
      </w:pPr>
      <w:r>
        <w:t>Under QC/review.</w:t>
      </w:r>
    </w:p>
    <w:p>
      <w:pPr>
        <w:pStyle w:val="ListBullet"/>
      </w:pPr>
      <w:r>
        <w:t>Rework or revisit required where configured.</w:t>
      </w:r>
    </w:p>
    <w:p>
      <w:pPr>
        <w:pStyle w:val="ListBullet"/>
      </w:pPr>
      <w:r>
        <w:t>Approved/completed.</w:t>
      </w:r>
    </w:p>
    <w:p>
      <w:pPr>
        <w:pStyle w:val="ListBullet"/>
      </w:pPr>
      <w:r>
        <w:t>Unable to verify/complete where configured.</w:t>
      </w:r>
    </w:p>
    <w:p>
      <w:r>
        <w:t>Customer-facing evidence must use existing signed/private access controls. Internal evidence classification remains authoritative.</w:t>
      </w:r>
    </w:p>
    <w:p>
      <w:pPr>
        <w:pStyle w:val="Heading1"/>
      </w:pPr>
      <w:r>
        <w:t>16. Shared trust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Trust principle</w:t>
            </w:r>
          </w:p>
        </w:tc>
        <w:tc>
          <w:tcPr>
            <w:tcW w:type="dxa" w:w="5112"/>
          </w:tcPr>
          <w:p>
            <w:r>
              <w:t>Customer-facing meaning</w:t>
            </w:r>
          </w:p>
        </w:tc>
      </w:tr>
      <w:tr>
        <w:tc>
          <w:tcPr>
            <w:tcW w:type="dxa" w:w="5112"/>
          </w:tcPr>
          <w:p>
            <w:r>
              <w:t>Trusted representation</w:t>
            </w:r>
          </w:p>
        </w:tc>
        <w:tc>
          <w:tcPr>
            <w:tcW w:type="dxa" w:w="5112"/>
          </w:tcPr>
          <w:p>
            <w:r>
              <w:t>Someone accountable is handling the agreed matter on the ground.</w:t>
            </w:r>
          </w:p>
        </w:tc>
      </w:tr>
      <w:tr>
        <w:tc>
          <w:tcPr>
            <w:tcW w:type="dxa" w:w="5112"/>
          </w:tcPr>
          <w:p>
            <w:r>
              <w:t>Clear scope</w:t>
            </w:r>
          </w:p>
        </w:tc>
        <w:tc>
          <w:tcPr>
            <w:tcW w:type="dxa" w:w="5112"/>
          </w:tcPr>
          <w:p>
            <w:r>
              <w:t>The customer knows what is included before formal execution.</w:t>
            </w:r>
          </w:p>
        </w:tc>
      </w:tr>
      <w:tr>
        <w:tc>
          <w:tcPr>
            <w:tcW w:type="dxa" w:w="5112"/>
          </w:tcPr>
          <w:p>
            <w:r>
              <w:t>Evidence &amp; visibility</w:t>
            </w:r>
          </w:p>
        </w:tc>
        <w:tc>
          <w:tcPr>
            <w:tcW w:type="dxa" w:w="5112"/>
          </w:tcPr>
          <w:p>
            <w:r>
              <w:t>Relevant progress/evidence can be seen where the service provides it.</w:t>
            </w:r>
          </w:p>
        </w:tc>
      </w:tr>
      <w:tr>
        <w:tc>
          <w:tcPr>
            <w:tcW w:type="dxa" w:w="5112"/>
          </w:tcPr>
          <w:p>
            <w:r>
              <w:t>Accountability</w:t>
            </w:r>
          </w:p>
        </w:tc>
        <w:tc>
          <w:tcPr>
            <w:tcW w:type="dxa" w:w="5112"/>
          </w:tcPr>
          <w:p>
            <w:r>
              <w:t>Requests move through a controlled case workflow.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Customer/beneficiary/staff visibility follows role and case permissions.</w:t>
            </w:r>
          </w:p>
        </w:tc>
      </w:tr>
    </w:tbl>
    <w:p>
      <w:pPr>
        <w:pStyle w:val="Heading1"/>
      </w:pPr>
      <w:r>
        <w:t>17. Responsive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Viewport</w:t>
            </w:r>
          </w:p>
        </w:tc>
        <w:tc>
          <w:tcPr>
            <w:tcW w:type="dxa" w:w="5112"/>
          </w:tcPr>
          <w:p>
            <w:r>
              <w:t>Global rule</w:t>
            </w:r>
          </w:p>
        </w:tc>
      </w:tr>
      <w:tr>
        <w:tc>
          <w:tcPr>
            <w:tcW w:type="dxa" w:w="5112"/>
          </w:tcPr>
          <w:p>
            <w:r>
              <w:t>Desktop</w:t>
            </w:r>
          </w:p>
        </w:tc>
        <w:tc>
          <w:tcPr>
            <w:tcW w:type="dxa" w:w="5112"/>
          </w:tcPr>
          <w:p>
            <w:r>
              <w:t>Strong hero hierarchy, Concierge prominent, service content easy to scan.</w:t>
            </w:r>
          </w:p>
        </w:tc>
      </w:tr>
      <w:tr>
        <w:tc>
          <w:tcPr>
            <w:tcW w:type="dxa" w:w="5112"/>
          </w:tcPr>
          <w:p>
            <w:r>
              <w:t>Tablet</w:t>
            </w:r>
          </w:p>
        </w:tc>
        <w:tc>
          <w:tcPr>
            <w:tcW w:type="dxa" w:w="5112"/>
          </w:tcPr>
          <w:p>
            <w:r>
              <w:t>Reduce columns without weakening Concierge prominence.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Concierge first; service content stacks; primary CTA remains prominent; comparison tables become vertical/accordion treatments.</w:t>
            </w:r>
          </w:p>
        </w:tc>
      </w:tr>
    </w:tbl>
    <w:p>
      <w:pPr>
        <w:pStyle w:val="Heading1"/>
      </w:pPr>
      <w:r>
        <w:t>18. Accessibility baseline</w:t>
      </w:r>
    </w:p>
    <w:p>
      <w:pPr>
        <w:pStyle w:val="ListBullet"/>
      </w:pPr>
      <w:r>
        <w:t>All Concierge fields have visible/programmatic labels.</w:t>
      </w:r>
    </w:p>
    <w:p>
      <w:pPr>
        <w:pStyle w:val="ListBullet"/>
      </w:pPr>
      <w:r>
        <w:t>Keyboard navigation and visible focus states.</w:t>
      </w:r>
    </w:p>
    <w:p>
      <w:pPr>
        <w:pStyle w:val="ListBullet"/>
      </w:pPr>
      <w:r>
        <w:t>Accessible conversation/status announcements.</w:t>
      </w:r>
    </w:p>
    <w:p>
      <w:pPr>
        <w:pStyle w:val="ListBullet"/>
      </w:pPr>
      <w:r>
        <w:t>Buttons and links have descriptive names.</w:t>
      </w:r>
    </w:p>
    <w:p>
      <w:pPr>
        <w:pStyle w:val="ListBullet"/>
      </w:pPr>
      <w:r>
        <w:t>FAQ and comparison components support assistive technology.</w:t>
      </w:r>
    </w:p>
    <w:p>
      <w:pPr>
        <w:pStyle w:val="ListBullet"/>
      </w:pPr>
      <w:r>
        <w:t>Status is never communicated through color alone.</w:t>
      </w:r>
    </w:p>
    <w:p>
      <w:pPr>
        <w:pStyle w:val="ListBullet"/>
      </w:pPr>
      <w:r>
        <w:t>Touch targets remain usable on mobile.</w:t>
      </w:r>
    </w:p>
    <w:p>
      <w:pPr>
        <w:pStyle w:val="Heading1"/>
      </w:pPr>
      <w:r>
        <w:t>19. Performance baseline</w:t>
      </w:r>
    </w:p>
    <w:p>
      <w:pPr>
        <w:pStyle w:val="ListBullet"/>
      </w:pPr>
      <w:r>
        <w:t>Do not block Concierge rendering on below-the-fold assets.</w:t>
      </w:r>
    </w:p>
    <w:p>
      <w:pPr>
        <w:pStyle w:val="ListBullet"/>
      </w:pPr>
      <w:r>
        <w:t>Lazy-load non-critical media.</w:t>
      </w:r>
    </w:p>
    <w:p>
      <w:pPr>
        <w:pStyle w:val="ListBullet"/>
      </w:pPr>
      <w:r>
        <w:t>Avoid layout shift.</w:t>
      </w:r>
    </w:p>
    <w:p>
      <w:pPr>
        <w:pStyle w:val="ListBullet"/>
      </w:pPr>
      <w:r>
        <w:t>Use responsive images.</w:t>
      </w:r>
    </w:p>
    <w:p>
      <w:pPr>
        <w:pStyle w:val="ListBullet"/>
      </w:pPr>
      <w:r>
        <w:t>Keep animation subtle and non-blocking.</w:t>
      </w:r>
    </w:p>
    <w:p>
      <w:pPr>
        <w:pStyle w:val="ListBullet"/>
      </w:pPr>
      <w:r>
        <w:t>Preserve stable loading/error shells.</w:t>
      </w:r>
    </w:p>
    <w:p>
      <w:pPr>
        <w:pStyle w:val="Heading1"/>
      </w:pPr>
      <w:r>
        <w:t>20. Analytics baseline</w:t>
      </w:r>
    </w:p>
    <w:p>
      <w:pPr>
        <w:pStyle w:val="ListBullet"/>
      </w:pPr>
      <w:r>
        <w:t>service_page_view</w:t>
      </w:r>
    </w:p>
    <w:p>
      <w:pPr>
        <w:pStyle w:val="ListBullet"/>
      </w:pPr>
      <w:r>
        <w:t>service_concierge_open</w:t>
      </w:r>
    </w:p>
    <w:p>
      <w:pPr>
        <w:pStyle w:val="ListBullet"/>
      </w:pPr>
      <w:r>
        <w:t>service_prompt_click</w:t>
      </w:r>
    </w:p>
    <w:p>
      <w:pPr>
        <w:pStyle w:val="ListBullet"/>
      </w:pPr>
      <w:r>
        <w:t>service_conversation_started</w:t>
      </w:r>
    </w:p>
    <w:p>
      <w:pPr>
        <w:pStyle w:val="ListBullet"/>
      </w:pPr>
      <w:r>
        <w:t>service_structured_request</w:t>
      </w:r>
    </w:p>
    <w:p>
      <w:pPr>
        <w:pStyle w:val="ListBullet"/>
      </w:pPr>
      <w:r>
        <w:t>service_auth_gate</w:t>
      </w:r>
    </w:p>
    <w:p>
      <w:pPr>
        <w:pStyle w:val="ListBullet"/>
      </w:pPr>
      <w:r>
        <w:t>service_case_created</w:t>
      </w:r>
    </w:p>
    <w:p>
      <w:pPr>
        <w:pStyle w:val="ListBullet"/>
      </w:pPr>
      <w:r>
        <w:t>service_cta_click</w:t>
      </w:r>
    </w:p>
    <w:p>
      <w:r>
        <w:t>Service-specific analytics may be added for category interest. Do not transmit sensitive free-text, family information, documents, payment data or third-party personal information unless explicitly approved.</w:t>
      </w:r>
    </w:p>
    <w:p>
      <w:pPr>
        <w:pStyle w:val="Heading1"/>
      </w:pPr>
      <w:r>
        <w:t>21. Engineering implementation order</w:t>
      </w:r>
    </w:p>
    <w:p>
      <w:r>
        <w:t>1. Audit the repository and current service/case/quote/payment configuration.</w:t>
      </w:r>
    </w:p>
    <w:p>
      <w:r>
        <w:t>2. Confirm route/component conventions and existing design-system primitives.</w:t>
      </w:r>
    </w:p>
    <w:p>
      <w:r>
        <w:t>3. Implement shared header, service menu and footer.</w:t>
      </w:r>
    </w:p>
    <w:p>
      <w:r>
        <w:t>4. Implement the shared Concierge component and state machine.</w:t>
      </w:r>
    </w:p>
    <w:p>
      <w:r>
        <w:t>5. Implement anonymous request drafting and authentication handoff.</w:t>
      </w:r>
    </w:p>
    <w:p>
      <w:r>
        <w:t>6. Implement the common service-page shell.</w:t>
      </w:r>
    </w:p>
    <w:p>
      <w:r>
        <w:t>7. Populate Arrivals.</w:t>
      </w:r>
    </w:p>
    <w:p>
      <w:r>
        <w:t>8. Populate Inspect.</w:t>
      </w:r>
    </w:p>
    <w:p>
      <w:r>
        <w:t>9. Populate Build.</w:t>
      </w:r>
    </w:p>
    <w:p>
      <w:r>
        <w:t>10. Populate Care.</w:t>
      </w:r>
    </w:p>
    <w:p>
      <w:r>
        <w:t>11. Populate Verify.</w:t>
      </w:r>
    </w:p>
    <w:p>
      <w:r>
        <w:t>12. Populate Assist.</w:t>
      </w:r>
    </w:p>
    <w:p>
      <w:r>
        <w:t>13. Connect all formal case creation to the existing case engine.</w:t>
      </w:r>
    </w:p>
    <w:p>
      <w:r>
        <w:t>14. Connect quote/payment to the existing authenticated workflow.</w:t>
      </w:r>
    </w:p>
    <w:p>
      <w:r>
        <w:t>15. Connect evidence/QC/report states where applicable.</w:t>
      </w:r>
    </w:p>
    <w:p>
      <w:r>
        <w:t>16. Run responsive, accessibility, performance, privacy and E2E QA.</w:t>
      </w:r>
    </w:p>
    <w:p>
      <w:r>
        <w:t>17. Perform a final content/capability audit against backend configuration before production.</w:t>
      </w:r>
    </w:p>
    <w:p>
      <w:pPr>
        <w:pStyle w:val="Heading1"/>
      </w:pPr>
      <w:r>
        <w:t>22. Definition of done</w:t>
      </w:r>
    </w:p>
    <w:p>
      <w:pPr>
        <w:pStyle w:val="ListBullet"/>
      </w:pPr>
      <w:r>
        <w:t>All six service families are live with consistent navigation and naming.</w:t>
      </w:r>
    </w:p>
    <w:p>
      <w:pPr>
        <w:pStyle w:val="ListBullet"/>
      </w:pPr>
      <w:r>
        <w:t>Each page has a clear hero, service-specific Concierge, scope/use cases, process, trust, outcome, FAQ and final CTA.</w:t>
      </w:r>
    </w:p>
    <w:p>
      <w:pPr>
        <w:pStyle w:val="ListBullet"/>
      </w:pPr>
      <w:r>
        <w:t>Anonymous visitors can start a Concierge conversation.</w:t>
      </w:r>
    </w:p>
    <w:p>
      <w:pPr>
        <w:pStyle w:val="ListBullet"/>
      </w:pPr>
      <w:r>
        <w:t>Authentication gates formal case creation.</w:t>
      </w:r>
    </w:p>
    <w:p>
      <w:pPr>
        <w:pStyle w:val="ListBullet"/>
      </w:pPr>
      <w:r>
        <w:t>Requests survive the authentication handoff safely.</w:t>
      </w:r>
    </w:p>
    <w:p>
      <w:pPr>
        <w:pStyle w:val="ListBullet"/>
      </w:pPr>
      <w:r>
        <w:t>Backend remains authoritative for case, scope, quote, payment, provider availability, evidence and completion.</w:t>
      </w:r>
    </w:p>
    <w:p>
      <w:pPr>
        <w:pStyle w:val="ListBullet"/>
      </w:pPr>
      <w:r>
        <w:t>Service-specific boundaries and unsupported claims are removed.</w:t>
      </w:r>
    </w:p>
    <w:p>
      <w:pPr>
        <w:pStyle w:val="ListBullet"/>
      </w:pPr>
      <w:r>
        <w:t>Responsive and accessibility QA passes.</w:t>
      </w:r>
    </w:p>
    <w:p>
      <w:pPr>
        <w:pStyle w:val="ListBullet"/>
      </w:pPr>
      <w:r>
        <w:t>Critical Concierge → case creation E2E flow passes.</w:t>
      </w:r>
    </w:p>
    <w:p>
      <w:pPr>
        <w:pStyle w:val="ListBullet"/>
      </w:pPr>
      <w:r>
        <w:t>Visual consistency across all six pages passes.</w:t>
      </w:r>
    </w:p>
    <w:p>
      <w:pPr>
        <w:pStyle w:val="ListBullet"/>
      </w:pPr>
      <w:r>
        <w:t>Developer documentation maps final UI components/routes to the actual repository.</w:t>
      </w:r>
    </w:p>
    <w:p>
      <w:pPr>
        <w:pStyle w:val="Heading1"/>
      </w:pPr>
      <w:r>
        <w:t>23. Content governance</w:t>
      </w:r>
    </w:p>
    <w:p>
      <w:pPr>
        <w:pStyle w:val="ListBullet"/>
      </w:pPr>
      <w:r>
        <w:t>Locked service names and homepage promises must not be changed casually.</w:t>
      </w:r>
    </w:p>
    <w:p>
      <w:pPr>
        <w:pStyle w:val="ListBullet"/>
      </w:pPr>
      <w:r>
        <w:t>Service examples are illustrative unless the backend explicitly supports the capability.</w:t>
      </w:r>
    </w:p>
    <w:p>
      <w:pPr>
        <w:pStyle w:val="ListBullet"/>
      </w:pPr>
      <w:r>
        <w:t>Do not invent pricing, availability, ratings, completion counts, testimonials or guarantees.</w:t>
      </w:r>
    </w:p>
    <w:p>
      <w:pPr>
        <w:pStyle w:val="ListBullet"/>
      </w:pPr>
      <w:r>
        <w:t>Where a source does not define a granular service, keep the presentation request-led and make backend configuration authoritative.</w:t>
      </w:r>
    </w:p>
    <w:p>
      <w:pPr>
        <w:pStyle w:val="ListBullet"/>
      </w:pPr>
      <w:r>
        <w:t>Operational claims must be reviewed against actual service configuration before production.</w:t>
      </w:r>
    </w:p>
    <w:p>
      <w:pPr>
        <w:pStyle w:val="Heading1"/>
      </w:pPr>
      <w:r>
        <w:t>24. Final developer handoff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Check</w:t>
            </w:r>
          </w:p>
        </w:tc>
      </w:tr>
      <w:tr>
        <w:tc>
          <w:tcPr>
            <w:tcW w:type="dxa" w:w="5112"/>
          </w:tcPr>
          <w:p>
            <w:r>
              <w:t>Navigation</w:t>
            </w:r>
          </w:p>
        </w:tc>
        <w:tc>
          <w:tcPr>
            <w:tcW w:type="dxa" w:w="5112"/>
          </w:tcPr>
          <w:p>
            <w:r>
              <w:t>Six services only; Farewell excluded.</w:t>
            </w:r>
          </w:p>
        </w:tc>
      </w:tr>
      <w:tr>
        <w:tc>
          <w:tcPr>
            <w:tcW w:type="dxa" w:w="5112"/>
          </w:tcPr>
          <w:p>
            <w:r>
              <w:t>Hero</w:t>
            </w:r>
          </w:p>
        </w:tc>
        <w:tc>
          <w:tcPr>
            <w:tcW w:type="dxa" w:w="5112"/>
          </w:tcPr>
          <w:p>
            <w:r>
              <w:t>Service-specific hero + Concierge.</w:t>
            </w:r>
          </w:p>
        </w:tc>
      </w:tr>
      <w:tr>
        <w:tc>
          <w:tcPr>
            <w:tcW w:type="dxa" w:w="5112"/>
          </w:tcPr>
          <w:p>
            <w:r>
              <w:t>Anonymous flow</w:t>
            </w:r>
          </w:p>
        </w:tc>
        <w:tc>
          <w:tcPr>
            <w:tcW w:type="dxa" w:w="5112"/>
          </w:tcPr>
          <w:p>
            <w:r>
              <w:t>Works without sign-in.</w:t>
            </w:r>
          </w:p>
        </w:tc>
      </w:tr>
      <w:tr>
        <w:tc>
          <w:tcPr>
            <w:tcW w:type="dxa" w:w="5112"/>
          </w:tcPr>
          <w:p>
            <w:r>
              <w:t>Auth</w:t>
            </w:r>
          </w:p>
        </w:tc>
        <w:tc>
          <w:tcPr>
            <w:tcW w:type="dxa" w:w="5112"/>
          </w:tcPr>
          <w:p>
            <w:r>
              <w:t>Formal case creation requires authentication.</w:t>
            </w:r>
          </w:p>
        </w:tc>
      </w:tr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Backend-authoritative and duplicate-safe.</w:t>
            </w:r>
          </w:p>
        </w:tc>
      </w:tr>
      <w:tr>
        <w:tc>
          <w:tcPr>
            <w:tcW w:type="dxa" w:w="5112"/>
          </w:tcPr>
          <w:p>
            <w:r>
              <w:t>Quote</w:t>
            </w:r>
          </w:p>
        </w:tc>
        <w:tc>
          <w:tcPr>
            <w:tcW w:type="dxa" w:w="5112"/>
          </w:tcPr>
          <w:p>
            <w:r>
              <w:t>Scope before quote; quote backend-authoritative.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Authenticated and backend-confirmed.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Private/signed access controls.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Configured states represented correctly.</w:t>
            </w:r>
          </w:p>
        </w:tc>
      </w:tr>
      <w:tr>
        <w:tc>
          <w:tcPr>
            <w:tcW w:type="dxa" w:w="5112"/>
          </w:tcPr>
          <w:p>
            <w:r>
              <w:t>Privacy</w:t>
            </w:r>
          </w:p>
        </w:tc>
        <w:tc>
          <w:tcPr>
            <w:tcW w:type="dxa" w:w="5112"/>
          </w:tcPr>
          <w:p>
            <w:r>
              <w:t>No unnecessary sensitive analytics/storage exposure.</w:t>
            </w:r>
          </w:p>
        </w:tc>
      </w:tr>
      <w:tr>
        <w:tc>
          <w:tcPr>
            <w:tcW w:type="dxa" w:w="5112"/>
          </w:tcPr>
          <w:p>
            <w:r>
              <w:t>Accessibility</w:t>
            </w:r>
          </w:p>
        </w:tc>
        <w:tc>
          <w:tcPr>
            <w:tcW w:type="dxa" w:w="5112"/>
          </w:tcPr>
          <w:p>
            <w:r>
              <w:t>Keyboard, focus, labels, status announcements.</w:t>
            </w:r>
          </w:p>
        </w:tc>
      </w:tr>
      <w:tr>
        <w:tc>
          <w:tcPr>
            <w:tcW w:type="dxa" w:w="5112"/>
          </w:tcPr>
          <w:p>
            <w:r>
              <w:t>Responsive</w:t>
            </w:r>
          </w:p>
        </w:tc>
        <w:tc>
          <w:tcPr>
            <w:tcW w:type="dxa" w:w="5112"/>
          </w:tcPr>
          <w:p>
            <w:r>
              <w:t>Desktop/tablet/mobile verified.</w:t>
            </w:r>
          </w:p>
        </w:tc>
      </w:tr>
      <w:tr>
        <w:tc>
          <w:tcPr>
            <w:tcW w:type="dxa" w:w="5112"/>
          </w:tcPr>
          <w:p>
            <w:r>
              <w:t>Content</w:t>
            </w:r>
          </w:p>
        </w:tc>
        <w:tc>
          <w:tcPr>
            <w:tcW w:type="dxa" w:w="5112"/>
          </w:tcPr>
          <w:p>
            <w:r>
              <w:t>No unsupported promises.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Concierge → auth → case → quote path passes.</w:t>
            </w:r>
          </w:p>
        </w:tc>
      </w:tr>
    </w:tbl>
    <w:p>
      <w:pPr>
        <w:pStyle w:val="Heading1"/>
      </w:pPr>
      <w:r>
        <w:t>25. Product boundary</w:t>
      </w:r>
    </w:p>
    <w:p>
      <w:r>
        <w:t>This master specification consolidates the six service-page blueprints. It does not replace the underlying ASOJU backend architecture or operational configuration. Where the source materials do not support a particular capability, the frontend must not invent it. Exact sub-services, provider availability, pricing, permissions and workflow states remain authoritative in the current repository/backend configuration.</w:t>
      </w:r>
    </w:p>
    <w:p>
      <w:r>
        <w:t>Current consolidated service sequence: ASOJU Arrivals → ASOJU Inspect → ASOJU Build → ASOJU Care → ASOJU Verify → ASOJU Assist.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