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INSPECT — SERVICE PAGE BLUEPRINT</w:t>
      </w:r>
    </w:p>
    <w:p>
      <w:pPr>
        <w:jc w:val="center"/>
      </w:pPr>
      <w:r>
        <w:rPr>
          <w:i/>
        </w:rPr>
        <w:t>Customer-facing UI/UX + front-end engineering handoff</w:t>
        <w:br/>
        <w:t>Version 1.0 • 15 August 2026</w:t>
      </w:r>
    </w:p>
    <w:p>
      <w:pPr>
        <w:pStyle w:val="Heading1"/>
      </w:pPr>
      <w:r>
        <w:t>1. Purpose</w:t>
      </w:r>
    </w:p>
    <w:p>
      <w:r>
        <w:t>ASOJU Inspect is the customer-facing service family for customers who need reliable information about a property, asset, site or other important physical situation in Nigeria without being physically present. The page should make inspection feel like an accountable evidence service, not an informal 'someone should check it' request.</w:t>
      </w:r>
    </w:p>
    <w:p>
      <w:pPr>
        <w:pStyle w:val="Heading1"/>
      </w:pPr>
      <w:r>
        <w:t>2. Locked service identity</w:t>
      </w:r>
    </w:p>
    <w:tbl>
      <w:tblPr>
        <w:tblStyle w:val="TableGrid"/>
        <w:tblW w:type="auto" w:w="0"/>
        <w:tblLook w:firstColumn="1" w:firstRow="1" w:lastColumn="0" w:lastRow="0" w:noHBand="0" w:noVBand="1" w:val="04A0"/>
      </w:tblPr>
      <w:tblGrid>
        <w:gridCol w:w="5112"/>
        <w:gridCol w:w="5112"/>
      </w:tblGrid>
      <w:tr>
        <w:tc>
          <w:tcPr>
            <w:tcW w:type="dxa" w:w="5112"/>
          </w:tcPr>
          <w:p>
            <w:r>
              <w:t>Element</w:t>
            </w:r>
          </w:p>
        </w:tc>
        <w:tc>
          <w:tcPr>
            <w:tcW w:type="dxa" w:w="5112"/>
          </w:tcPr>
          <w:p>
            <w:r>
              <w:t>Locked specification</w:t>
            </w:r>
          </w:p>
        </w:tc>
      </w:tr>
      <w:tr>
        <w:tc>
          <w:tcPr>
            <w:tcW w:type="dxa" w:w="5112"/>
          </w:tcPr>
          <w:p>
            <w:r>
              <w:t>Service name</w:t>
            </w:r>
          </w:p>
        </w:tc>
        <w:tc>
          <w:tcPr>
            <w:tcW w:type="dxa" w:w="5112"/>
          </w:tcPr>
          <w:p>
            <w:r>
              <w:t>ASOJU Inspect</w:t>
            </w:r>
          </w:p>
        </w:tc>
      </w:tr>
      <w:tr>
        <w:tc>
          <w:tcPr>
            <w:tcW w:type="dxa" w:w="5112"/>
          </w:tcPr>
          <w:p>
            <w:r>
              <w:t>Homepage promise</w:t>
            </w:r>
          </w:p>
        </w:tc>
        <w:tc>
          <w:tcPr>
            <w:tcW w:type="dxa" w:w="5112"/>
          </w:tcPr>
          <w:p>
            <w:r>
              <w:t>Know what is happening on the ground.</w:t>
            </w:r>
          </w:p>
        </w:tc>
      </w:tr>
      <w:tr>
        <w:tc>
          <w:tcPr>
            <w:tcW w:type="dxa" w:w="5112"/>
          </w:tcPr>
          <w:p>
            <w:r>
              <w:t>Primary CTA</w:t>
            </w:r>
          </w:p>
        </w:tc>
        <w:tc>
          <w:tcPr>
            <w:tcW w:type="dxa" w:w="5112"/>
          </w:tcPr>
          <w:p>
            <w:r>
              <w:t>Start with ASOJU →</w:t>
            </w:r>
          </w:p>
        </w:tc>
      </w:tr>
      <w:tr>
        <w:tc>
          <w:tcPr>
            <w:tcW w:type="dxa" w:w="5112"/>
          </w:tcPr>
          <w:p>
            <w:r>
              <w:t>Secondary CTA</w:t>
            </w:r>
          </w:p>
        </w:tc>
        <w:tc>
          <w:tcPr>
            <w:tcW w:type="dxa" w:w="5112"/>
          </w:tcPr>
          <w:p>
            <w:r>
              <w:t>Tell us what you need →</w:t>
            </w:r>
          </w:p>
        </w:tc>
      </w:tr>
      <w:tr>
        <w:tc>
          <w:tcPr>
            <w:tcW w:type="dxa" w:w="5112"/>
          </w:tcPr>
          <w:p>
            <w:r>
              <w:t>Primary conversion</w:t>
            </w:r>
          </w:p>
        </w:tc>
        <w:tc>
          <w:tcPr>
            <w:tcW w:type="dxa" w:w="5112"/>
          </w:tcPr>
          <w:p>
            <w:r>
              <w:t>AI Concierge</w:t>
            </w:r>
          </w:p>
        </w:tc>
      </w:tr>
      <w:tr>
        <w:tc>
          <w:tcPr>
            <w:tcW w:type="dxa" w:w="5112"/>
          </w:tcPr>
          <w:p>
            <w:r>
              <w:t>Anonymous use</w:t>
            </w:r>
          </w:p>
        </w:tc>
        <w:tc>
          <w:tcPr>
            <w:tcW w:type="dxa" w:w="5112"/>
          </w:tcPr>
          <w:p>
            <w:r>
              <w:t>Yes — first-instance Concierge conversation.</w:t>
            </w:r>
          </w:p>
        </w:tc>
      </w:tr>
      <w:tr>
        <w:tc>
          <w:tcPr>
            <w:tcW w:type="dxa" w:w="5112"/>
          </w:tcPr>
          <w:p>
            <w:r>
              <w:t>Authentication gate</w:t>
            </w:r>
          </w:p>
        </w:tc>
        <w:tc>
          <w:tcPr>
            <w:tcW w:type="dxa" w:w="5112"/>
          </w:tcPr>
          <w:p>
            <w:r>
              <w:t>Required before formal case creation and quote/payment progression.</w:t>
            </w:r>
          </w:p>
        </w:tc>
      </w:tr>
    </w:tbl>
    <w:p>
      <w:pPr>
        <w:pStyle w:val="Heading1"/>
      </w:pPr>
      <w:r>
        <w:t>3. Core service scope</w:t>
      </w:r>
    </w:p>
    <w:p>
      <w:r>
        <w:t>The current ASOJU build explicitly identifies Property Inspection, Construction Supervision and Asset Checks as core services, with service-specific checklists and evidence/report workflows. This page should therefore lead with inspection and verification of physical conditions, while construction supervision remains a distinct ASOJU Build family.</w:t>
      </w:r>
    </w:p>
    <w:tbl>
      <w:tblPr>
        <w:tblStyle w:val="TableGrid"/>
        <w:tblW w:type="auto" w:w="0"/>
        <w:tblLook w:firstColumn="1" w:firstRow="1" w:lastColumn="0" w:lastRow="0" w:noHBand="0" w:noVBand="1" w:val="04A0"/>
      </w:tblPr>
      <w:tblGrid>
        <w:gridCol w:w="5112"/>
        <w:gridCol w:w="5112"/>
      </w:tblGrid>
      <w:tr>
        <w:tc>
          <w:tcPr>
            <w:tcW w:type="dxa" w:w="5112"/>
          </w:tcPr>
          <w:p>
            <w:r>
              <w:t>Inspection type</w:t>
            </w:r>
          </w:p>
        </w:tc>
        <w:tc>
          <w:tcPr>
            <w:tcW w:type="dxa" w:w="5112"/>
          </w:tcPr>
          <w:p>
            <w:r>
              <w:t>Customer-facing examples</w:t>
            </w:r>
          </w:p>
        </w:tc>
      </w:tr>
      <w:tr>
        <w:tc>
          <w:tcPr>
            <w:tcW w:type="dxa" w:w="5112"/>
          </w:tcPr>
          <w:p>
            <w:r>
              <w:t>Property inspection</w:t>
            </w:r>
          </w:p>
        </w:tc>
        <w:tc>
          <w:tcPr>
            <w:tcW w:type="dxa" w:w="5112"/>
          </w:tcPr>
          <w:p>
            <w:r>
              <w:t>Home/property condition checks, visual condition review, agreed areas/items, evidence-backed findings.</w:t>
            </w:r>
          </w:p>
        </w:tc>
      </w:tr>
      <w:tr>
        <w:tc>
          <w:tcPr>
            <w:tcW w:type="dxa" w:w="5112"/>
          </w:tcPr>
          <w:p>
            <w:r>
              <w:t>Asset check</w:t>
            </w:r>
          </w:p>
        </w:tc>
        <w:tc>
          <w:tcPr>
            <w:tcW w:type="dxa" w:w="5112"/>
          </w:tcPr>
          <w:p>
            <w:r>
              <w:t>Verify the condition/existence/status of an agreed physical asset.</w:t>
            </w:r>
          </w:p>
        </w:tc>
      </w:tr>
      <w:tr>
        <w:tc>
          <w:tcPr>
            <w:tcW w:type="dxa" w:w="5112"/>
          </w:tcPr>
          <w:p>
            <w:r>
              <w:t>Site inspection</w:t>
            </w:r>
          </w:p>
        </w:tc>
        <w:tc>
          <w:tcPr>
            <w:tcW w:type="dxa" w:w="5112"/>
          </w:tcPr>
          <w:p>
            <w:r>
              <w:t>Inspect an agreed physical site and document observations.</w:t>
            </w:r>
          </w:p>
        </w:tc>
      </w:tr>
      <w:tr>
        <w:tc>
          <w:tcPr>
            <w:tcW w:type="dxa" w:w="5112"/>
          </w:tcPr>
          <w:p>
            <w:r>
              <w:t>Pre-purchase / decision support</w:t>
            </w:r>
          </w:p>
        </w:tc>
        <w:tc>
          <w:tcPr>
            <w:tcW w:type="dxa" w:w="5112"/>
          </w:tcPr>
          <w:p>
            <w:r>
              <w:t>Where configured, inspect an asset/property before a customer makes an important decision.</w:t>
            </w:r>
          </w:p>
        </w:tc>
      </w:tr>
      <w:tr>
        <w:tc>
          <w:tcPr>
            <w:tcW w:type="dxa" w:w="5112"/>
          </w:tcPr>
          <w:p>
            <w:r>
              <w:t>Scheduled / repeat checks</w:t>
            </w:r>
          </w:p>
        </w:tc>
        <w:tc>
          <w:tcPr>
            <w:tcW w:type="dxa" w:w="5112"/>
          </w:tcPr>
          <w:p>
            <w:r>
              <w:t>Where configured, support recurring inspection requests.</w:t>
            </w:r>
          </w:p>
        </w:tc>
      </w:tr>
    </w:tbl>
    <w:p>
      <w:r>
        <w:t>Do not expose Construction Supervision as an Inspect sub-service. It belongs under ASOJU Build.</w:t>
      </w:r>
    </w:p>
    <w:p>
      <w:pPr>
        <w:pStyle w:val="Heading1"/>
      </w:pPr>
      <w:r>
        <w:t>4. Page objective</w:t>
      </w:r>
    </w:p>
    <w:p>
      <w:pPr>
        <w:pStyle w:val="ListBullet"/>
      </w:pPr>
      <w:r>
        <w:t>Make the customer immediately understand that ASOJU can inspect something on the ground for them.</w:t>
      </w:r>
    </w:p>
    <w:p>
      <w:pPr>
        <w:pStyle w:val="ListBullet"/>
      </w:pPr>
      <w:r>
        <w:t>Emphasize evidence, accountability and visibility.</w:t>
      </w:r>
    </w:p>
    <w:p>
      <w:pPr>
        <w:pStyle w:val="ListBullet"/>
      </w:pPr>
      <w:r>
        <w:t>Show that the customer can describe a specific concern before signing in.</w:t>
      </w:r>
    </w:p>
    <w:p>
      <w:pPr>
        <w:pStyle w:val="ListBullet"/>
      </w:pPr>
      <w:r>
        <w:t>Make the path from request → scope → inspection → evidence → QC/report clear.</w:t>
      </w:r>
    </w:p>
    <w:p>
      <w:pPr>
        <w:pStyle w:val="ListBullet"/>
      </w:pPr>
      <w:r>
        <w:t>Avoid promising findings, condition, valuation, legal title verification or technical certification unless explicitly included in the configured scope.</w:t>
      </w:r>
    </w:p>
    <w:p>
      <w:pPr>
        <w:pStyle w:val="Heading1"/>
      </w:pPr>
      <w:r>
        <w:t>5. Recommended page structure</w:t>
      </w:r>
    </w:p>
    <w:tbl>
      <w:tblPr>
        <w:tblStyle w:val="TableGrid"/>
        <w:tblW w:type="auto" w:w="0"/>
        <w:tblLook w:firstColumn="1" w:firstRow="1" w:lastColumn="0" w:lastRow="0" w:noHBand="0" w:noVBand="1" w:val="04A0"/>
      </w:tblPr>
      <w:tblGrid>
        <w:gridCol w:w="3408"/>
        <w:gridCol w:w="3408"/>
        <w:gridCol w:w="3408"/>
      </w:tblGrid>
      <w:tr>
        <w:tc>
          <w:tcPr>
            <w:tcW w:type="dxa" w:w="3408"/>
          </w:tcPr>
          <w:p>
            <w:r>
              <w:t>Order</w:t>
            </w:r>
          </w:p>
        </w:tc>
        <w:tc>
          <w:tcPr>
            <w:tcW w:type="dxa" w:w="3408"/>
          </w:tcPr>
          <w:p>
            <w:r>
              <w:t>Section</w:t>
            </w:r>
          </w:p>
        </w:tc>
        <w:tc>
          <w:tcPr>
            <w:tcW w:type="dxa" w:w="3408"/>
          </w:tcPr>
          <w:p>
            <w:r>
              <w:t>Purpose</w:t>
            </w:r>
          </w:p>
        </w:tc>
      </w:tr>
      <w:tr>
        <w:tc>
          <w:tcPr>
            <w:tcW w:type="dxa" w:w="3408"/>
          </w:tcPr>
          <w:p>
            <w:r>
              <w:t>1</w:t>
            </w:r>
          </w:p>
        </w:tc>
        <w:tc>
          <w:tcPr>
            <w:tcW w:type="dxa" w:w="3408"/>
          </w:tcPr>
          <w:p>
            <w:r>
              <w:t>Header</w:t>
            </w:r>
          </w:p>
        </w:tc>
        <w:tc>
          <w:tcPr>
            <w:tcW w:type="dxa" w:w="3408"/>
          </w:tcPr>
          <w:p>
            <w:r>
              <w:t>Global ASOJU navigation.</w:t>
            </w:r>
          </w:p>
        </w:tc>
      </w:tr>
      <w:tr>
        <w:tc>
          <w:tcPr>
            <w:tcW w:type="dxa" w:w="3408"/>
          </w:tcPr>
          <w:p>
            <w:r>
              <w:t>2</w:t>
            </w:r>
          </w:p>
        </w:tc>
        <w:tc>
          <w:tcPr>
            <w:tcW w:type="dxa" w:w="3408"/>
          </w:tcPr>
          <w:p>
            <w:r>
              <w:t>Hero + Concierge</w:t>
            </w:r>
          </w:p>
        </w:tc>
        <w:tc>
          <w:tcPr>
            <w:tcW w:type="dxa" w:w="3408"/>
          </w:tcPr>
          <w:p>
            <w:r>
              <w:t>Immediate problem recognition and request creation.</w:t>
            </w:r>
          </w:p>
        </w:tc>
      </w:tr>
      <w:tr>
        <w:tc>
          <w:tcPr>
            <w:tcW w:type="dxa" w:w="3408"/>
          </w:tcPr>
          <w:p>
            <w:r>
              <w:t>3</w:t>
            </w:r>
          </w:p>
        </w:tc>
        <w:tc>
          <w:tcPr>
            <w:tcW w:type="dxa" w:w="3408"/>
          </w:tcPr>
          <w:p>
            <w:r>
              <w:t>What we inspect</w:t>
            </w:r>
          </w:p>
        </w:tc>
        <w:tc>
          <w:tcPr>
            <w:tcW w:type="dxa" w:w="3408"/>
          </w:tcPr>
          <w:p>
            <w:r>
              <w:t>Property, asset and site situations.</w:t>
            </w:r>
          </w:p>
        </w:tc>
      </w:tr>
      <w:tr>
        <w:tc>
          <w:tcPr>
            <w:tcW w:type="dxa" w:w="3408"/>
          </w:tcPr>
          <w:p>
            <w:r>
              <w:t>4</w:t>
            </w:r>
          </w:p>
        </w:tc>
        <w:tc>
          <w:tcPr>
            <w:tcW w:type="dxa" w:w="3408"/>
          </w:tcPr>
          <w:p>
            <w:r>
              <w:t>What the inspection includes</w:t>
            </w:r>
          </w:p>
        </w:tc>
        <w:tc>
          <w:tcPr>
            <w:tcW w:type="dxa" w:w="3408"/>
          </w:tcPr>
          <w:p>
            <w:r>
              <w:t>Scope/evidence/report expectations.</w:t>
            </w:r>
          </w:p>
        </w:tc>
      </w:tr>
      <w:tr>
        <w:tc>
          <w:tcPr>
            <w:tcW w:type="dxa" w:w="3408"/>
          </w:tcPr>
          <w:p>
            <w:r>
              <w:t>5</w:t>
            </w:r>
          </w:p>
        </w:tc>
        <w:tc>
          <w:tcPr>
            <w:tcW w:type="dxa" w:w="3408"/>
          </w:tcPr>
          <w:p>
            <w:r>
              <w:t>How it works</w:t>
            </w:r>
          </w:p>
        </w:tc>
        <w:tc>
          <w:tcPr>
            <w:tcW w:type="dxa" w:w="3408"/>
          </w:tcPr>
          <w:p>
            <w:r>
              <w:t>Controlled inspection workflow.</w:t>
            </w:r>
          </w:p>
        </w:tc>
      </w:tr>
      <w:tr>
        <w:tc>
          <w:tcPr>
            <w:tcW w:type="dxa" w:w="3408"/>
          </w:tcPr>
          <w:p>
            <w:r>
              <w:t>6</w:t>
            </w:r>
          </w:p>
        </w:tc>
        <w:tc>
          <w:tcPr>
            <w:tcW w:type="dxa" w:w="3408"/>
          </w:tcPr>
          <w:p>
            <w:r>
              <w:t>Why ASOJU</w:t>
            </w:r>
          </w:p>
        </w:tc>
        <w:tc>
          <w:tcPr>
            <w:tcW w:type="dxa" w:w="3408"/>
          </w:tcPr>
          <w:p>
            <w:r>
              <w:t>Trust, evidence, QC and accountability.</w:t>
            </w:r>
          </w:p>
        </w:tc>
      </w:tr>
      <w:tr>
        <w:tc>
          <w:tcPr>
            <w:tcW w:type="dxa" w:w="3408"/>
          </w:tcPr>
          <w:p>
            <w:r>
              <w:t>7</w:t>
            </w:r>
          </w:p>
        </w:tc>
        <w:tc>
          <w:tcPr>
            <w:tcW w:type="dxa" w:w="3408"/>
          </w:tcPr>
          <w:p>
            <w:r>
              <w:t>What you receive</w:t>
            </w:r>
          </w:p>
        </w:tc>
        <w:tc>
          <w:tcPr>
            <w:tcW w:type="dxa" w:w="3408"/>
          </w:tcPr>
          <w:p>
            <w:r>
              <w:t>Evidence/report/outcome expectations.</w:t>
            </w:r>
          </w:p>
        </w:tc>
      </w:tr>
      <w:tr>
        <w:tc>
          <w:tcPr>
            <w:tcW w:type="dxa" w:w="3408"/>
          </w:tcPr>
          <w:p>
            <w:r>
              <w:t>8</w:t>
            </w:r>
          </w:p>
        </w:tc>
        <w:tc>
          <w:tcPr>
            <w:tcW w:type="dxa" w:w="3408"/>
          </w:tcPr>
          <w:p>
            <w:r>
              <w:t>FAQ</w:t>
            </w:r>
          </w:p>
        </w:tc>
        <w:tc>
          <w:tcPr>
            <w:tcW w:type="dxa" w:w="3408"/>
          </w:tcPr>
          <w:p>
            <w:r>
              <w:t>Approved practical questions.</w:t>
            </w:r>
          </w:p>
        </w:tc>
      </w:tr>
      <w:tr>
        <w:tc>
          <w:tcPr>
            <w:tcW w:type="dxa" w:w="3408"/>
          </w:tcPr>
          <w:p>
            <w:r>
              <w:t>9</w:t>
            </w:r>
          </w:p>
        </w:tc>
        <w:tc>
          <w:tcPr>
            <w:tcW w:type="dxa" w:w="3408"/>
          </w:tcPr>
          <w:p>
            <w:r>
              <w:t>Final Concierge CTA</w:t>
            </w:r>
          </w:p>
        </w:tc>
        <w:tc>
          <w:tcPr>
            <w:tcW w:type="dxa" w:w="3408"/>
          </w:tcPr>
          <w:p>
            <w:r>
              <w:t>Conversion.</w:t>
            </w:r>
          </w:p>
        </w:tc>
      </w:tr>
      <w:tr>
        <w:tc>
          <w:tcPr>
            <w:tcW w:type="dxa" w:w="3408"/>
          </w:tcPr>
          <w:p>
            <w:r>
              <w:t>10</w:t>
            </w:r>
          </w:p>
        </w:tc>
        <w:tc>
          <w:tcPr>
            <w:tcW w:type="dxa" w:w="3408"/>
          </w:tcPr>
          <w:p>
            <w:r>
              <w:t>Footer</w:t>
            </w:r>
          </w:p>
        </w:tc>
        <w:tc>
          <w:tcPr>
            <w:tcW w:type="dxa" w:w="3408"/>
          </w:tcPr>
          <w:p>
            <w:r>
              <w:t>Global navigation.</w:t>
            </w:r>
          </w:p>
        </w:tc>
      </w:tr>
    </w:tbl>
    <w:p>
      <w:pPr>
        <w:pStyle w:val="Heading1"/>
      </w:pPr>
      <w:r>
        <w:t>6. Hero</w:t>
      </w:r>
    </w:p>
    <w:p>
      <w:r>
        <w:t>Eyebrow: ASOJU INSPECT</w:t>
      </w:r>
    </w:p>
    <w:p>
      <w:r>
        <w:t>Headline: “Know what is happening on the ground.”</w:t>
      </w:r>
    </w:p>
    <w:p>
      <w:r>
        <w:t>Supporting message: “When you cannot be there yourself, ASOJU can arrange an inspection, capture the agreed evidence and give you a clear view of what was found.”</w:t>
      </w:r>
    </w:p>
    <w:p>
      <w:r>
        <w:t>Primary CTA: Start with ASOJU →</w:t>
      </w:r>
    </w:p>
    <w:p>
      <w:r>
        <w:t>Secondary CTA: Tell us what you need →</w:t>
      </w:r>
    </w:p>
    <w:p>
      <w:pPr>
        <w:pStyle w:val="Heading1"/>
      </w:pPr>
      <w:r>
        <w:t>7. Hero Concierge</w:t>
      </w:r>
    </w:p>
    <w:p>
      <w:r>
        <w:t>Heading: “Tell ASOJU what you want us to inspect”</w:t>
      </w:r>
    </w:p>
    <w:p>
      <w:r>
        <w:t>Prompt: “What should we inspect, where is it, and what do you need to know?”</w:t>
      </w:r>
    </w:p>
    <w:p>
      <w:r>
        <w:t>Example prompts:</w:t>
      </w:r>
    </w:p>
    <w:p>
      <w:pPr>
        <w:pStyle w:val="ListBullet"/>
      </w:pPr>
      <w:r>
        <w:t>“I need someone to inspect my house in Lagos and send me evidence of its condition.”</w:t>
      </w:r>
    </w:p>
    <w:p>
      <w:pPr>
        <w:pStyle w:val="ListBullet"/>
      </w:pPr>
      <w:r>
        <w:t>“Please check the progress and condition of a property before I make a decision.”</w:t>
      </w:r>
    </w:p>
    <w:p>
      <w:pPr>
        <w:pStyle w:val="ListBullet"/>
      </w:pPr>
      <w:r>
        <w:t>“I need someone to inspect an asset for me in Abuja.”</w:t>
      </w:r>
    </w:p>
    <w:p>
      <w:pPr>
        <w:pStyle w:val="ListBullet"/>
      </w:pPr>
      <w:r>
        <w:t>“Can someone visit a site, take the required evidence and report back to me?”</w:t>
      </w:r>
    </w:p>
    <w:p>
      <w:pPr>
        <w:pStyle w:val="Heading1"/>
      </w:pPr>
      <w:r>
        <w:t>8. Concierge state flow</w:t>
      </w:r>
    </w:p>
    <w:tbl>
      <w:tblPr>
        <w:tblStyle w:val="TableGrid"/>
        <w:tblW w:type="auto" w:w="0"/>
        <w:tblLook w:firstColumn="1" w:firstRow="1" w:lastColumn="0" w:lastRow="0" w:noHBand="0" w:noVBand="1" w:val="04A0"/>
      </w:tblPr>
      <w:tblGrid>
        <w:gridCol w:w="5112"/>
        <w:gridCol w:w="5112"/>
      </w:tblGrid>
      <w:tr>
        <w:tc>
          <w:tcPr>
            <w:tcW w:type="dxa" w:w="5112"/>
          </w:tcPr>
          <w:p>
            <w:r>
              <w:t>State</w:t>
            </w:r>
          </w:p>
        </w:tc>
        <w:tc>
          <w:tcPr>
            <w:tcW w:type="dxa" w:w="5112"/>
          </w:tcPr>
          <w:p>
            <w:r>
              <w:t>UI behavior</w:t>
            </w:r>
          </w:p>
        </w:tc>
      </w:tr>
      <w:tr>
        <w:tc>
          <w:tcPr>
            <w:tcW w:type="dxa" w:w="5112"/>
          </w:tcPr>
          <w:p>
            <w:r>
              <w:t>Anonymous idle</w:t>
            </w:r>
          </w:p>
        </w:tc>
        <w:tc>
          <w:tcPr>
            <w:tcW w:type="dxa" w:w="5112"/>
          </w:tcPr>
          <w:p>
            <w:r>
              <w:t>Input + examples; no sign-in.</w:t>
            </w:r>
          </w:p>
        </w:tc>
      </w:tr>
      <w:tr>
        <w:tc>
          <w:tcPr>
            <w:tcW w:type="dxa" w:w="5112"/>
          </w:tcPr>
          <w:p>
            <w:r>
              <w:t>Conversation</w:t>
            </w:r>
          </w:p>
        </w:tc>
        <w:tc>
          <w:tcPr>
            <w:tcW w:type="dxa" w:w="5112"/>
          </w:tcPr>
          <w:p>
            <w:r>
              <w:t>Clarify location, subject, objective, requested checks and desired evidence.</w:t>
            </w:r>
          </w:p>
        </w:tc>
      </w:tr>
      <w:tr>
        <w:tc>
          <w:tcPr>
            <w:tcW w:type="dxa" w:w="5112"/>
          </w:tcPr>
          <w:p>
            <w:r>
              <w:t>Structured request</w:t>
            </w:r>
          </w:p>
        </w:tc>
        <w:tc>
          <w:tcPr>
            <w:tcW w:type="dxa" w:w="5112"/>
          </w:tcPr>
          <w:p>
            <w:r>
              <w:t>Show service family = ASOJU Inspect, scope summary and missing information.</w:t>
            </w:r>
          </w:p>
        </w:tc>
      </w:tr>
      <w:tr>
        <w:tc>
          <w:tcPr>
            <w:tcW w:type="dxa" w:w="5112"/>
          </w:tcPr>
          <w:p>
            <w:r>
              <w:t>Authentication gate</w:t>
            </w:r>
          </w:p>
        </w:tc>
        <w:tc>
          <w:tcPr>
            <w:tcW w:type="dxa" w:w="5112"/>
          </w:tcPr>
          <w:p>
            <w:r>
              <w:t>Require sign-in/create-account before formal case creation.</w:t>
            </w:r>
          </w:p>
        </w:tc>
      </w:tr>
      <w:tr>
        <w:tc>
          <w:tcPr>
            <w:tcW w:type="dxa" w:w="5112"/>
          </w:tcPr>
          <w:p>
            <w:r>
              <w:t>Authenticated continuation</w:t>
            </w:r>
          </w:p>
        </w:tc>
        <w:tc>
          <w:tcPr>
            <w:tcW w:type="dxa" w:w="5112"/>
          </w:tcPr>
          <w:p>
            <w:r>
              <w:t>Restore request context and create formal case.</w:t>
            </w:r>
          </w:p>
        </w:tc>
      </w:tr>
      <w:tr>
        <w:tc>
          <w:tcPr>
            <w:tcW w:type="dxa" w:w="5112"/>
          </w:tcPr>
          <w:p>
            <w:r>
              <w:t>Scope/quote</w:t>
            </w:r>
          </w:p>
        </w:tc>
        <w:tc>
          <w:tcPr>
            <w:tcW w:type="dxa" w:w="5112"/>
          </w:tcPr>
          <w:p>
            <w:r>
              <w:t>Backend determines scope, fees, external costs and quote.</w:t>
            </w:r>
          </w:p>
        </w:tc>
      </w:tr>
      <w:tr>
        <w:tc>
          <w:tcPr>
            <w:tcW w:type="dxa" w:w="5112"/>
          </w:tcPr>
          <w:p>
            <w:r>
              <w:t>Case execution</w:t>
            </w:r>
          </w:p>
        </w:tc>
        <w:tc>
          <w:tcPr>
            <w:tcW w:type="dxa" w:w="5112"/>
          </w:tcPr>
          <w:p>
            <w:r>
              <w:t>Assigned field workflow uses the confirmed checklist/scope.</w:t>
            </w:r>
          </w:p>
        </w:tc>
      </w:tr>
      <w:tr>
        <w:tc>
          <w:tcPr>
            <w:tcW w:type="dxa" w:w="5112"/>
          </w:tcPr>
          <w:p>
            <w:r>
              <w:t>Completion</w:t>
            </w:r>
          </w:p>
        </w:tc>
        <w:tc>
          <w:tcPr>
            <w:tcW w:type="dxa" w:w="5112"/>
          </w:tcPr>
          <w:p>
            <w:r>
              <w:t>Customer receives evidence/report according to the agreed scope.</w:t>
            </w:r>
          </w:p>
        </w:tc>
      </w:tr>
    </w:tbl>
    <w:p>
      <w:pPr>
        <w:pStyle w:val="Heading1"/>
      </w:pPr>
      <w:r>
        <w:t>9. What can be inspected</w:t>
      </w:r>
    </w:p>
    <w:tbl>
      <w:tblPr>
        <w:tblStyle w:val="TableGrid"/>
        <w:tblW w:type="auto" w:w="0"/>
        <w:tblLook w:firstColumn="1" w:firstRow="1" w:lastColumn="0" w:lastRow="0" w:noHBand="0" w:noVBand="1" w:val="04A0"/>
      </w:tblPr>
      <w:tblGrid>
        <w:gridCol w:w="5112"/>
        <w:gridCol w:w="5112"/>
      </w:tblGrid>
      <w:tr>
        <w:tc>
          <w:tcPr>
            <w:tcW w:type="dxa" w:w="5112"/>
          </w:tcPr>
          <w:p>
            <w:r>
              <w:t>Category</w:t>
            </w:r>
          </w:p>
        </w:tc>
        <w:tc>
          <w:tcPr>
            <w:tcW w:type="dxa" w:w="5112"/>
          </w:tcPr>
          <w:p>
            <w:r>
              <w:t>Examples</w:t>
            </w:r>
          </w:p>
        </w:tc>
      </w:tr>
      <w:tr>
        <w:tc>
          <w:tcPr>
            <w:tcW w:type="dxa" w:w="5112"/>
          </w:tcPr>
          <w:p>
            <w:r>
              <w:t>Property</w:t>
            </w:r>
          </w:p>
        </w:tc>
        <w:tc>
          <w:tcPr>
            <w:tcW w:type="dxa" w:w="5112"/>
          </w:tcPr>
          <w:p>
            <w:r>
              <w:t>House, apartment, building or other agreed property areas/items.</w:t>
            </w:r>
          </w:p>
        </w:tc>
      </w:tr>
      <w:tr>
        <w:tc>
          <w:tcPr>
            <w:tcW w:type="dxa" w:w="5112"/>
          </w:tcPr>
          <w:p>
            <w:r>
              <w:t>Asset</w:t>
            </w:r>
          </w:p>
        </w:tc>
        <w:tc>
          <w:tcPr>
            <w:tcW w:type="dxa" w:w="5112"/>
          </w:tcPr>
          <w:p>
            <w:r>
              <w:t>Physical asset where the customer needs presence/condition verification.</w:t>
            </w:r>
          </w:p>
        </w:tc>
      </w:tr>
      <w:tr>
        <w:tc>
          <w:tcPr>
            <w:tcW w:type="dxa" w:w="5112"/>
          </w:tcPr>
          <w:p>
            <w:r>
              <w:t>Site</w:t>
            </w:r>
          </w:p>
        </w:tc>
        <w:tc>
          <w:tcPr>
            <w:tcW w:type="dxa" w:w="5112"/>
          </w:tcPr>
          <w:p>
            <w:r>
              <w:t>Agreed site/location requiring physical inspection and evidence.</w:t>
            </w:r>
          </w:p>
        </w:tc>
      </w:tr>
      <w:tr>
        <w:tc>
          <w:tcPr>
            <w:tcW w:type="dxa" w:w="5112"/>
          </w:tcPr>
          <w:p>
            <w:r>
              <w:t>Condition</w:t>
            </w:r>
          </w:p>
        </w:tc>
        <w:tc>
          <w:tcPr>
            <w:tcW w:type="dxa" w:w="5112"/>
          </w:tcPr>
          <w:p>
            <w:r>
              <w:t>Visible condition of agreed areas/items and recorded observations.</w:t>
            </w:r>
          </w:p>
        </w:tc>
      </w:tr>
      <w:tr>
        <w:tc>
          <w:tcPr>
            <w:tcW w:type="dxa" w:w="5112"/>
          </w:tcPr>
          <w:p>
            <w:r>
              <w:t>Progress</w:t>
            </w:r>
          </w:p>
        </w:tc>
        <w:tc>
          <w:tcPr>
            <w:tcW w:type="dxa" w:w="5112"/>
          </w:tcPr>
          <w:p>
            <w:r>
              <w:t>Where configured for inspection, document observable progress; construction supervision remains ASOJU Build.</w:t>
            </w:r>
          </w:p>
        </w:tc>
      </w:tr>
    </w:tbl>
    <w:p>
      <w:pPr>
        <w:pStyle w:val="Heading1"/>
      </w:pPr>
      <w:r>
        <w:t>10. What the inspection can produce</w:t>
      </w:r>
    </w:p>
    <w:p>
      <w:pPr>
        <w:pStyle w:val="ListBullet"/>
      </w:pPr>
      <w:r>
        <w:t>Agreed inspection checklist.</w:t>
      </w:r>
    </w:p>
    <w:p>
      <w:pPr>
        <w:pStyle w:val="ListBullet"/>
      </w:pPr>
      <w:r>
        <w:t>Photographic/video evidence where included in scope.</w:t>
      </w:r>
    </w:p>
    <w:p>
      <w:pPr>
        <w:pStyle w:val="ListBullet"/>
      </w:pPr>
      <w:r>
        <w:t>Recorded observations/findings.</w:t>
      </w:r>
    </w:p>
    <w:p>
      <w:pPr>
        <w:pStyle w:val="ListBullet"/>
      </w:pPr>
      <w:r>
        <w:t>Exceptions or issues identified during the inspection.</w:t>
      </w:r>
    </w:p>
    <w:p>
      <w:pPr>
        <w:pStyle w:val="ListBullet"/>
      </w:pPr>
      <w:r>
        <w:t>QC review where the workflow requires it.</w:t>
      </w:r>
    </w:p>
    <w:p>
      <w:pPr>
        <w:pStyle w:val="ListBullet"/>
      </w:pPr>
      <w:r>
        <w:t>Customer-facing report or completion information where configured.</w:t>
      </w:r>
    </w:p>
    <w:p>
      <w:r>
        <w:t>The customer-facing page should never imply that an inspection is a professional valuation, structural certification, legal title search, engineering opinion or other regulated/professional service unless that exact capability is explicitly configured and assigned to an appropriate verified provider.</w:t>
      </w:r>
    </w:p>
    <w:p>
      <w:pPr>
        <w:pStyle w:val="Heading1"/>
      </w:pPr>
      <w:r>
        <w:t>11. How ASOJU Inspect works</w:t>
      </w:r>
    </w:p>
    <w:tbl>
      <w:tblPr>
        <w:tblStyle w:val="TableGrid"/>
        <w:tblW w:type="auto" w:w="0"/>
        <w:tblLook w:firstColumn="1" w:firstRow="1" w:lastColumn="0" w:lastRow="0" w:noHBand="0" w:noVBand="1" w:val="04A0"/>
      </w:tblPr>
      <w:tblGrid>
        <w:gridCol w:w="5112"/>
        <w:gridCol w:w="5112"/>
      </w:tblGrid>
      <w:tr>
        <w:tc>
          <w:tcPr>
            <w:tcW w:type="dxa" w:w="5112"/>
          </w:tcPr>
          <w:p>
            <w:r>
              <w:t>Step</w:t>
            </w:r>
          </w:p>
        </w:tc>
        <w:tc>
          <w:tcPr>
            <w:tcW w:type="dxa" w:w="5112"/>
          </w:tcPr>
          <w:p>
            <w:r>
              <w:t>Customer-facing explanation</w:t>
            </w:r>
          </w:p>
        </w:tc>
      </w:tr>
      <w:tr>
        <w:tc>
          <w:tcPr>
            <w:tcW w:type="dxa" w:w="5112"/>
          </w:tcPr>
          <w:p>
            <w:r>
              <w:t>1 — Tell us</w:t>
            </w:r>
          </w:p>
        </w:tc>
        <w:tc>
          <w:tcPr>
            <w:tcW w:type="dxa" w:w="5112"/>
          </w:tcPr>
          <w:p>
            <w:r>
              <w:t>Describe what you want inspected, where it is and what you need to know.</w:t>
            </w:r>
          </w:p>
        </w:tc>
      </w:tr>
      <w:tr>
        <w:tc>
          <w:tcPr>
            <w:tcW w:type="dxa" w:w="5112"/>
          </w:tcPr>
          <w:p>
            <w:r>
              <w:t>2 — Define it</w:t>
            </w:r>
          </w:p>
        </w:tc>
        <w:tc>
          <w:tcPr>
            <w:tcW w:type="dxa" w:w="5112"/>
          </w:tcPr>
          <w:p>
            <w:r>
              <w:t>ASOJU clarifies the inspection scope, checklist and evidence requirements.</w:t>
            </w:r>
          </w:p>
        </w:tc>
      </w:tr>
      <w:tr>
        <w:tc>
          <w:tcPr>
            <w:tcW w:type="dxa" w:w="5112"/>
          </w:tcPr>
          <w:p>
            <w:r>
              <w:t>3 — We inspect</w:t>
            </w:r>
          </w:p>
        </w:tc>
        <w:tc>
          <w:tcPr>
            <w:tcW w:type="dxa" w:w="5112"/>
          </w:tcPr>
          <w:p>
            <w:r>
              <w:t>An appropriate field workflow executes the confirmed inspection.</w:t>
            </w:r>
          </w:p>
        </w:tc>
      </w:tr>
      <w:tr>
        <w:tc>
          <w:tcPr>
            <w:tcW w:type="dxa" w:w="5112"/>
          </w:tcPr>
          <w:p>
            <w:r>
              <w:t>4 — You see what was found</w:t>
            </w:r>
          </w:p>
        </w:tc>
        <w:tc>
          <w:tcPr>
            <w:tcW w:type="dxa" w:w="5112"/>
          </w:tcPr>
          <w:p>
            <w:r>
              <w:t>Receive the agreed evidence and report/completion information after the required review.</w:t>
            </w:r>
          </w:p>
        </w:tc>
      </w:tr>
    </w:tbl>
    <w:p>
      <w:pPr>
        <w:pStyle w:val="Heading1"/>
      </w:pPr>
      <w:r>
        <w:t>12. Evidence and trust</w:t>
      </w:r>
    </w:p>
    <w:p>
      <w:r>
        <w:t>Headline: “Don't rely on ‘it looks fine.’ See what was checked.”</w:t>
      </w:r>
    </w:p>
    <w:tbl>
      <w:tblPr>
        <w:tblStyle w:val="TableGrid"/>
        <w:tblW w:type="auto" w:w="0"/>
        <w:tblLook w:firstColumn="1" w:firstRow="1" w:lastColumn="0" w:lastRow="0" w:noHBand="0" w:noVBand="1" w:val="04A0"/>
      </w:tblPr>
      <w:tblGrid>
        <w:gridCol w:w="5112"/>
        <w:gridCol w:w="5112"/>
      </w:tblGrid>
      <w:tr>
        <w:tc>
          <w:tcPr>
            <w:tcW w:type="dxa" w:w="5112"/>
          </w:tcPr>
          <w:p>
            <w:r>
              <w:t>Principle</w:t>
            </w:r>
          </w:p>
        </w:tc>
        <w:tc>
          <w:tcPr>
            <w:tcW w:type="dxa" w:w="5112"/>
          </w:tcPr>
          <w:p>
            <w:r>
              <w:t>Message</w:t>
            </w:r>
          </w:p>
        </w:tc>
      </w:tr>
      <w:tr>
        <w:tc>
          <w:tcPr>
            <w:tcW w:type="dxa" w:w="5112"/>
          </w:tcPr>
          <w:p>
            <w:r>
              <w:t>Evidence</w:t>
            </w:r>
          </w:p>
        </w:tc>
        <w:tc>
          <w:tcPr>
            <w:tcW w:type="dxa" w:w="5112"/>
          </w:tcPr>
          <w:p>
            <w:r>
              <w:t>Capture agreed evidence rather than relying only on a verbal update.</w:t>
            </w:r>
          </w:p>
        </w:tc>
      </w:tr>
      <w:tr>
        <w:tc>
          <w:tcPr>
            <w:tcW w:type="dxa" w:w="5112"/>
          </w:tcPr>
          <w:p>
            <w:r>
              <w:t>Scope</w:t>
            </w:r>
          </w:p>
        </w:tc>
        <w:tc>
          <w:tcPr>
            <w:tcW w:type="dxa" w:w="5112"/>
          </w:tcPr>
          <w:p>
            <w:r>
              <w:t>Define what is and is not being inspected before execution.</w:t>
            </w:r>
          </w:p>
        </w:tc>
      </w:tr>
      <w:tr>
        <w:tc>
          <w:tcPr>
            <w:tcW w:type="dxa" w:w="5112"/>
          </w:tcPr>
          <w:p>
            <w:r>
              <w:t>QC</w:t>
            </w:r>
          </w:p>
        </w:tc>
        <w:tc>
          <w:tcPr>
            <w:tcW w:type="dxa" w:w="5112"/>
          </w:tcPr>
          <w:p>
            <w:r>
              <w:t>Submitted fieldwork goes through the configured quality-control process.</w:t>
            </w:r>
          </w:p>
        </w:tc>
      </w:tr>
      <w:tr>
        <w:tc>
          <w:tcPr>
            <w:tcW w:type="dxa" w:w="5112"/>
          </w:tcPr>
          <w:p>
            <w:r>
              <w:t>Accountability</w:t>
            </w:r>
          </w:p>
        </w:tc>
        <w:tc>
          <w:tcPr>
            <w:tcW w:type="dxa" w:w="5112"/>
          </w:tcPr>
          <w:p>
            <w:r>
              <w:t>The inspection is a controlled case with assigned ownership and audit history.</w:t>
            </w:r>
          </w:p>
        </w:tc>
      </w:tr>
    </w:tbl>
    <w:p>
      <w:pPr>
        <w:pStyle w:val="Heading1"/>
      </w:pPr>
      <w:r>
        <w:t>13. What the customer receives</w:t>
      </w:r>
    </w:p>
    <w:p>
      <w:pPr>
        <w:pStyle w:val="ListBullet"/>
      </w:pPr>
      <w:r>
        <w:t>Clear inspection scope before execution.</w:t>
      </w:r>
    </w:p>
    <w:p>
      <w:pPr>
        <w:pStyle w:val="ListBullet"/>
      </w:pPr>
      <w:r>
        <w:t>Case status and relevant progress updates.</w:t>
      </w:r>
    </w:p>
    <w:p>
      <w:pPr>
        <w:pStyle w:val="ListBullet"/>
      </w:pPr>
      <w:r>
        <w:t>Evidence captured according to the confirmed checklist.</w:t>
      </w:r>
    </w:p>
    <w:p>
      <w:pPr>
        <w:pStyle w:val="ListBullet"/>
      </w:pPr>
      <w:r>
        <w:t>Findings/observations and exceptions where recorded.</w:t>
      </w:r>
    </w:p>
    <w:p>
      <w:pPr>
        <w:pStyle w:val="ListBullet"/>
      </w:pPr>
      <w:r>
        <w:t>QC outcome where applicable.</w:t>
      </w:r>
    </w:p>
    <w:p>
      <w:pPr>
        <w:pStyle w:val="ListBullet"/>
      </w:pPr>
      <w:r>
        <w:t>Report/completion information according to the agreed service scope.</w:t>
      </w:r>
    </w:p>
    <w:p>
      <w:r>
        <w:t>Do not promise a fixed number of photographs, a specific turnaround time, a particular inspector credential or a clean result.</w:t>
      </w:r>
    </w:p>
    <w:p>
      <w:pPr>
        <w:pStyle w:val="Heading1"/>
      </w:pPr>
      <w:r>
        <w:t>14. Pricing and quote behavior</w:t>
      </w:r>
    </w:p>
    <w:p>
      <w:pPr>
        <w:pStyle w:val="ListBullet"/>
      </w:pPr>
      <w:r>
        <w:t>Do not publish invented inspection prices on the service page.</w:t>
      </w:r>
    </w:p>
    <w:p>
      <w:pPr>
        <w:pStyle w:val="ListBullet"/>
      </w:pPr>
      <w:r>
        <w:t>Formal scope and quote are generated through the existing case/quote workflow.</w:t>
      </w:r>
    </w:p>
    <w:p>
      <w:pPr>
        <w:pStyle w:val="ListBullet"/>
      </w:pPr>
      <w:r>
        <w:t>Show ASOJU service fees, external costs, professional fees and taxes as separate quote categories where applicable.</w:t>
      </w:r>
    </w:p>
    <w:p>
      <w:pPr>
        <w:pStyle w:val="ListBullet"/>
      </w:pPr>
      <w:r>
        <w:t>Quote acceptance and payment require authentication.</w:t>
      </w:r>
    </w:p>
    <w:p>
      <w:pPr>
        <w:pStyle w:val="ListBullet"/>
      </w:pPr>
      <w:r>
        <w:t>Expired quotes must not be accepted through the UI.</w:t>
      </w:r>
    </w:p>
    <w:p>
      <w:pPr>
        <w:pStyle w:val="Heading1"/>
      </w:pPr>
      <w:r>
        <w:t>15. FAQ framework</w:t>
      </w:r>
    </w:p>
    <w:p>
      <w:pPr>
        <w:pStyle w:val="ListBullet"/>
      </w:pPr>
      <w:r>
        <w:t>Can ASOJU inspect my property while I am abroad?</w:t>
      </w:r>
    </w:p>
    <w:p>
      <w:pPr>
        <w:pStyle w:val="ListBullet"/>
      </w:pPr>
      <w:r>
        <w:t>What information do you need before arranging an inspection?</w:t>
      </w:r>
    </w:p>
    <w:p>
      <w:pPr>
        <w:pStyle w:val="ListBullet"/>
      </w:pPr>
      <w:r>
        <w:t>Can I specify exactly what I want checked?</w:t>
      </w:r>
    </w:p>
    <w:p>
      <w:pPr>
        <w:pStyle w:val="ListBullet"/>
      </w:pPr>
      <w:r>
        <w:t>Will I receive photos or video?</w:t>
      </w:r>
    </w:p>
    <w:p>
      <w:pPr>
        <w:pStyle w:val="ListBullet"/>
      </w:pPr>
      <w:r>
        <w:t>Will someone review the inspection before I receive the result?</w:t>
      </w:r>
    </w:p>
    <w:p>
      <w:pPr>
        <w:pStyle w:val="ListBullet"/>
      </w:pPr>
      <w:r>
        <w:t>Can ASOJU inspect an asset before I buy it?</w:t>
      </w:r>
    </w:p>
    <w:p>
      <w:pPr>
        <w:pStyle w:val="ListBullet"/>
      </w:pPr>
      <w:r>
        <w:t>Can you inspect a construction project?</w:t>
      </w:r>
    </w:p>
    <w:p>
      <w:pPr>
        <w:pStyle w:val="ListBullet"/>
      </w:pPr>
      <w:r>
        <w:t>What is the difference between ASOJU Inspect and ASOJU Build?</w:t>
      </w:r>
    </w:p>
    <w:p>
      <w:pPr>
        <w:pStyle w:val="ListBullet"/>
      </w:pPr>
      <w:r>
        <w:t>What happens if the inspector finds a problem?</w:t>
      </w:r>
    </w:p>
    <w:p>
      <w:r>
        <w:t>FAQ answers must use the configured product policy and actual provider/service capabilities. Do not invent professional certifications, guarantees or legal conclusions.</w:t>
      </w:r>
    </w:p>
    <w:p>
      <w:pPr>
        <w:pStyle w:val="Heading1"/>
      </w:pPr>
      <w:r>
        <w:t>16. Inspect vs Build clarification</w:t>
      </w:r>
    </w:p>
    <w:p>
      <w:r>
        <w:t>This distinction should appear prominently enough to prevent customer confusion:</w:t>
      </w:r>
    </w:p>
    <w:tbl>
      <w:tblPr>
        <w:tblStyle w:val="TableGrid"/>
        <w:tblW w:type="auto" w:w="0"/>
        <w:tblLook w:firstColumn="1" w:firstRow="1" w:lastColumn="0" w:lastRow="0" w:noHBand="0" w:noVBand="1" w:val="04A0"/>
      </w:tblPr>
      <w:tblGrid>
        <w:gridCol w:w="5112"/>
        <w:gridCol w:w="5112"/>
      </w:tblGrid>
      <w:tr>
        <w:tc>
          <w:tcPr>
            <w:tcW w:type="dxa" w:w="5112"/>
          </w:tcPr>
          <w:p>
            <w:r>
              <w:t>ASOJU Inspect</w:t>
            </w:r>
          </w:p>
        </w:tc>
        <w:tc>
          <w:tcPr>
            <w:tcW w:type="dxa" w:w="5112"/>
          </w:tcPr>
          <w:p>
            <w:r>
              <w:t>ASOJU Build</w:t>
            </w:r>
          </w:p>
        </w:tc>
      </w:tr>
      <w:tr>
        <w:tc>
          <w:tcPr>
            <w:tcW w:type="dxa" w:w="5112"/>
          </w:tcPr>
          <w:p>
            <w:r>
              <w:t>Check/verify what is happening or the condition of an agreed property, asset or site.</w:t>
            </w:r>
          </w:p>
        </w:tc>
        <w:tc>
          <w:tcPr>
            <w:tcW w:type="dxa" w:w="5112"/>
          </w:tcPr>
          <w:p>
            <w:r>
              <w:t>Ongoing construction/project supervision and progress oversight.</w:t>
            </w:r>
          </w:p>
        </w:tc>
      </w:tr>
      <w:tr>
        <w:tc>
          <w:tcPr>
            <w:tcW w:type="dxa" w:w="5112"/>
          </w:tcPr>
          <w:p>
            <w:r>
              <w:t>Typically a defined inspection/check.</w:t>
            </w:r>
          </w:p>
        </w:tc>
        <w:tc>
          <w:tcPr>
            <w:tcW w:type="dxa" w:w="5112"/>
          </w:tcPr>
          <w:p>
            <w:r>
              <w:t>May involve recurring site supervision, contractor coordination and project oversight.</w:t>
            </w:r>
          </w:p>
        </w:tc>
      </w:tr>
      <w:tr>
        <w:tc>
          <w:tcPr>
            <w:tcW w:type="dxa" w:w="5112"/>
          </w:tcPr>
          <w:p>
            <w:r>
              <w:t>Evidence/report according to scope.</w:t>
            </w:r>
          </w:p>
        </w:tc>
        <w:tc>
          <w:tcPr>
            <w:tcW w:type="dxa" w:w="5112"/>
          </w:tcPr>
          <w:p>
            <w:r>
              <w:t>Project monitoring and execution support according to scope.</w:t>
            </w:r>
          </w:p>
        </w:tc>
      </w:tr>
    </w:tbl>
    <w:p>
      <w:pPr>
        <w:pStyle w:val="Heading1"/>
      </w:pPr>
      <w:r>
        <w:t>17. Front-end components</w:t>
      </w:r>
    </w:p>
    <w:p>
      <w:pPr>
        <w:pStyle w:val="ListBullet"/>
      </w:pPr>
      <w:r>
        <w:t>ServiceHero</w:t>
      </w:r>
    </w:p>
    <w:p>
      <w:pPr>
        <w:pStyle w:val="ListBullet"/>
      </w:pPr>
      <w:r>
        <w:t>InspectConciergePanel</w:t>
      </w:r>
    </w:p>
    <w:p>
      <w:pPr>
        <w:pStyle w:val="ListBullet"/>
      </w:pPr>
      <w:r>
        <w:t>ExamplePromptList</w:t>
      </w:r>
    </w:p>
    <w:p>
      <w:pPr>
        <w:pStyle w:val="ListBullet"/>
      </w:pPr>
      <w:r>
        <w:t>InspectionTypeCards</w:t>
      </w:r>
    </w:p>
    <w:p>
      <w:pPr>
        <w:pStyle w:val="ListBullet"/>
      </w:pPr>
      <w:r>
        <w:t>InspectionScopeSection</w:t>
      </w:r>
    </w:p>
    <w:p>
      <w:pPr>
        <w:pStyle w:val="ListBullet"/>
      </w:pPr>
      <w:r>
        <w:t>EvidencePreviewSection</w:t>
      </w:r>
    </w:p>
    <w:p>
      <w:pPr>
        <w:pStyle w:val="ListBullet"/>
      </w:pPr>
      <w:r>
        <w:t>HowItWorks</w:t>
      </w:r>
    </w:p>
    <w:p>
      <w:pPr>
        <w:pStyle w:val="ListBullet"/>
      </w:pPr>
      <w:r>
        <w:t>TrustQCSection</w:t>
      </w:r>
    </w:p>
    <w:p>
      <w:pPr>
        <w:pStyle w:val="ListBullet"/>
      </w:pPr>
      <w:r>
        <w:t>CustomerOutcomeSection</w:t>
      </w:r>
    </w:p>
    <w:p>
      <w:pPr>
        <w:pStyle w:val="ListBullet"/>
      </w:pPr>
      <w:r>
        <w:t>InspectVsBuildComparison</w:t>
      </w:r>
    </w:p>
    <w:p>
      <w:pPr>
        <w:pStyle w:val="ListBullet"/>
      </w:pPr>
      <w:r>
        <w:t>FAQAccordion</w:t>
      </w:r>
    </w:p>
    <w:p>
      <w:pPr>
        <w:pStyle w:val="ListBullet"/>
      </w:pPr>
      <w:r>
        <w:t>ServiceCTA</w:t>
      </w:r>
    </w:p>
    <w:p>
      <w:pPr>
        <w:pStyle w:val="ListBullet"/>
      </w:pPr>
      <w:r>
        <w:t>GlobalHeader</w:t>
      </w:r>
    </w:p>
    <w:p>
      <w:pPr>
        <w:pStyle w:val="ListBullet"/>
      </w:pPr>
      <w:r>
        <w:t>GlobalFooter</w:t>
      </w:r>
    </w:p>
    <w:p>
      <w:pPr>
        <w:pStyle w:val="Heading1"/>
      </w:pPr>
      <w:r>
        <w:t>18. Responsive behavior</w:t>
      </w:r>
    </w:p>
    <w:tbl>
      <w:tblPr>
        <w:tblStyle w:val="TableGrid"/>
        <w:tblW w:type="auto" w:w="0"/>
        <w:tblLook w:firstColumn="1" w:firstRow="1" w:lastColumn="0" w:lastRow="0" w:noHBand="0" w:noVBand="1" w:val="04A0"/>
      </w:tblPr>
      <w:tblGrid>
        <w:gridCol w:w="5112"/>
        <w:gridCol w:w="5112"/>
      </w:tblGrid>
      <w:tr>
        <w:tc>
          <w:tcPr>
            <w:tcW w:type="dxa" w:w="5112"/>
          </w:tcPr>
          <w:p>
            <w:r>
              <w:t>Viewport</w:t>
            </w:r>
          </w:p>
        </w:tc>
        <w:tc>
          <w:tcPr>
            <w:tcW w:type="dxa" w:w="5112"/>
          </w:tcPr>
          <w:p>
            <w:r>
              <w:t>Requirement</w:t>
            </w:r>
          </w:p>
        </w:tc>
      </w:tr>
      <w:tr>
        <w:tc>
          <w:tcPr>
            <w:tcW w:type="dxa" w:w="5112"/>
          </w:tcPr>
          <w:p>
            <w:r>
              <w:t>Desktop</w:t>
            </w:r>
          </w:p>
        </w:tc>
        <w:tc>
          <w:tcPr>
            <w:tcW w:type="dxa" w:w="5112"/>
          </w:tcPr>
          <w:p>
            <w:r>
              <w:t>Hero + Concierge dominant; inspection types in clear cards; evidence section visually grounded.</w:t>
            </w:r>
          </w:p>
        </w:tc>
      </w:tr>
      <w:tr>
        <w:tc>
          <w:tcPr>
            <w:tcW w:type="dxa" w:w="5112"/>
          </w:tcPr>
          <w:p>
            <w:r>
              <w:t>Tablet</w:t>
            </w:r>
          </w:p>
        </w:tc>
        <w:tc>
          <w:tcPr>
            <w:tcW w:type="dxa" w:w="5112"/>
          </w:tcPr>
          <w:p>
            <w:r>
              <w:t>Two-column cards; preserve Concierge prominence.</w:t>
            </w:r>
          </w:p>
        </w:tc>
      </w:tr>
      <w:tr>
        <w:tc>
          <w:tcPr>
            <w:tcW w:type="dxa" w:w="5112"/>
          </w:tcPr>
          <w:p>
            <w:r>
              <w:t>Mobile</w:t>
            </w:r>
          </w:p>
        </w:tc>
        <w:tc>
          <w:tcPr>
            <w:tcW w:type="dxa" w:w="5112"/>
          </w:tcPr>
          <w:p>
            <w:r>
              <w:t>Concierge first; inspection cards stack; evidence/report messaging remains readable; CTA remains easy to reach.</w:t>
            </w:r>
          </w:p>
        </w:tc>
      </w:tr>
    </w:tbl>
    <w:p>
      <w:pPr>
        <w:pStyle w:val="Heading1"/>
      </w:pPr>
      <w:r>
        <w:t>19. Accessibility</w:t>
      </w:r>
    </w:p>
    <w:p>
      <w:pPr>
        <w:pStyle w:val="ListBullet"/>
      </w:pPr>
      <w:r>
        <w:t>Concierge input and examples have accessible labels/names.</w:t>
      </w:r>
    </w:p>
    <w:p>
      <w:pPr>
        <w:pStyle w:val="ListBullet"/>
      </w:pPr>
      <w:r>
        <w:t>Evidence imagery has meaningful alternative text where needed.</w:t>
      </w:r>
    </w:p>
    <w:p>
      <w:pPr>
        <w:pStyle w:val="ListBullet"/>
      </w:pPr>
      <w:r>
        <w:t>Status, QC and report states are not communicated through color alone.</w:t>
      </w:r>
    </w:p>
    <w:p>
      <w:pPr>
        <w:pStyle w:val="ListBullet"/>
      </w:pPr>
      <w:r>
        <w:t>FAQ and comparison components support keyboard navigation.</w:t>
      </w:r>
    </w:p>
    <w:p>
      <w:pPr>
        <w:pStyle w:val="ListBullet"/>
      </w:pPr>
      <w:r>
        <w:t>Focus states remain visible and touch targets remain practical on mobile.</w:t>
      </w:r>
    </w:p>
    <w:p>
      <w:pPr>
        <w:pStyle w:val="Heading1"/>
      </w:pPr>
      <w:r>
        <w:t>20. Analytics</w:t>
      </w:r>
    </w:p>
    <w:p>
      <w:pPr>
        <w:pStyle w:val="ListBullet"/>
      </w:pPr>
      <w:r>
        <w:t>inspect_page_view</w:t>
      </w:r>
    </w:p>
    <w:p>
      <w:pPr>
        <w:pStyle w:val="ListBullet"/>
      </w:pPr>
      <w:r>
        <w:t>inspect_concierge_open</w:t>
      </w:r>
    </w:p>
    <w:p>
      <w:pPr>
        <w:pStyle w:val="ListBullet"/>
      </w:pPr>
      <w:r>
        <w:t>inspect_prompt_click</w:t>
      </w:r>
    </w:p>
    <w:p>
      <w:pPr>
        <w:pStyle w:val="ListBullet"/>
      </w:pPr>
      <w:r>
        <w:t>inspect_property_interest</w:t>
      </w:r>
    </w:p>
    <w:p>
      <w:pPr>
        <w:pStyle w:val="ListBullet"/>
      </w:pPr>
      <w:r>
        <w:t>inspect_asset_interest</w:t>
      </w:r>
    </w:p>
    <w:p>
      <w:pPr>
        <w:pStyle w:val="ListBullet"/>
      </w:pPr>
      <w:r>
        <w:t>inspect_site_interest</w:t>
      </w:r>
    </w:p>
    <w:p>
      <w:pPr>
        <w:pStyle w:val="ListBullet"/>
      </w:pPr>
      <w:r>
        <w:t>inspect_conversation_started</w:t>
      </w:r>
    </w:p>
    <w:p>
      <w:pPr>
        <w:pStyle w:val="ListBullet"/>
      </w:pPr>
      <w:r>
        <w:t>inspect_structured_request</w:t>
      </w:r>
    </w:p>
    <w:p>
      <w:pPr>
        <w:pStyle w:val="ListBullet"/>
      </w:pPr>
      <w:r>
        <w:t>inspect_auth_gate</w:t>
      </w:r>
    </w:p>
    <w:p>
      <w:pPr>
        <w:pStyle w:val="ListBullet"/>
      </w:pPr>
      <w:r>
        <w:t>inspect_case_created</w:t>
      </w:r>
    </w:p>
    <w:p>
      <w:pPr>
        <w:pStyle w:val="ListBullet"/>
      </w:pPr>
      <w:r>
        <w:t>inspect_cta_click</w:t>
      </w:r>
    </w:p>
    <w:p>
      <w:r>
        <w:t>Do not transmit sensitive inspection request free text into analytics unless explicitly approved.</w:t>
      </w:r>
    </w:p>
    <w:p>
      <w:pPr>
        <w:pStyle w:val="Heading1"/>
      </w:pPr>
      <w:r>
        <w:t>21. Engineering rules</w:t>
      </w:r>
    </w:p>
    <w:p>
      <w:pPr>
        <w:pStyle w:val="ListBullet"/>
      </w:pPr>
      <w:r>
        <w:t>Map ASOJU Inspect to the existing backend service types/checklists and case engine.</w:t>
      </w:r>
    </w:p>
    <w:p>
      <w:pPr>
        <w:pStyle w:val="ListBullet"/>
      </w:pPr>
      <w:r>
        <w:t>Use server-authoritative scope, assignment, QC and completion state.</w:t>
      </w:r>
    </w:p>
    <w:p>
      <w:pPr>
        <w:pStyle w:val="ListBullet"/>
      </w:pPr>
      <w:r>
        <w:t>Evidence access must use existing signed/private storage controls.</w:t>
      </w:r>
    </w:p>
    <w:p>
      <w:pPr>
        <w:pStyle w:val="ListBullet"/>
      </w:pPr>
      <w:r>
        <w:t>Do not expose staff-only documents, risk flags or internal audit information to customers.</w:t>
      </w:r>
    </w:p>
    <w:p>
      <w:pPr>
        <w:pStyle w:val="ListBullet"/>
      </w:pPr>
      <w:r>
        <w:t>Do not calculate inspection results or QC outcomes in the browser.</w:t>
      </w:r>
    </w:p>
    <w:p>
      <w:pPr>
        <w:pStyle w:val="ListBullet"/>
      </w:pPr>
      <w:r>
        <w:t>Authentication is required for formal case creation and quote/payment, not for anonymous Concierge exploration.</w:t>
      </w:r>
    </w:p>
    <w:p>
      <w:pPr>
        <w:pStyle w:val="ListBullet"/>
      </w:pPr>
      <w:r>
        <w:t>Support explicit states for inspection pending, assigned, in progress, submitted, QC rework/revisit, approved, completed and other backend-defined states.</w:t>
      </w:r>
    </w:p>
    <w:p>
      <w:pPr>
        <w:pStyle w:val="ListBullet"/>
      </w:pPr>
      <w:r>
        <w:t>Preserve the latest confirmed scope/checklist for field execution.</w:t>
      </w:r>
    </w:p>
    <w:p>
      <w:pPr>
        <w:pStyle w:val="Heading1"/>
      </w:pPr>
      <w:r>
        <w:t>22. Acceptance criteria</w:t>
      </w:r>
    </w:p>
    <w:p>
      <w:pPr>
        <w:pStyle w:val="ListBullet"/>
      </w:pPr>
      <w:r>
        <w:t>Visitor immediately understands that ASOJU Inspect can check physical things in Nigeria on their behalf.</w:t>
      </w:r>
    </w:p>
    <w:p>
      <w:pPr>
        <w:pStyle w:val="ListBullet"/>
      </w:pPr>
      <w:r>
        <w:t>The six-family naming architecture is preserved.</w:t>
      </w:r>
    </w:p>
    <w:p>
      <w:pPr>
        <w:pStyle w:val="ListBullet"/>
      </w:pPr>
      <w:r>
        <w:t>Concierge starts without sign-in.</w:t>
      </w:r>
    </w:p>
    <w:p>
      <w:pPr>
        <w:pStyle w:val="ListBullet"/>
      </w:pPr>
      <w:r>
        <w:t>Concierge can capture subject, location, objective and desired evidence.</w:t>
      </w:r>
    </w:p>
    <w:p>
      <w:pPr>
        <w:pStyle w:val="ListBullet"/>
      </w:pPr>
      <w:r>
        <w:t>Formal case creation requires authentication.</w:t>
      </w:r>
    </w:p>
    <w:p>
      <w:pPr>
        <w:pStyle w:val="ListBullet"/>
      </w:pPr>
      <w:r>
        <w:t>Scope and quote are backend-authoritative.</w:t>
      </w:r>
    </w:p>
    <w:p>
      <w:pPr>
        <w:pStyle w:val="ListBullet"/>
      </w:pPr>
      <w:r>
        <w:t>Evidence/report access respects case permissions and classification.</w:t>
      </w:r>
    </w:p>
    <w:p>
      <w:pPr>
        <w:pStyle w:val="ListBullet"/>
      </w:pPr>
      <w:r>
        <w:t>Inspect is clearly distinguished from ASOJU Build.</w:t>
      </w:r>
    </w:p>
    <w:p>
      <w:pPr>
        <w:pStyle w:val="ListBullet"/>
      </w:pPr>
      <w:r>
        <w:t>No unsupported valuation, certification, legal or professional guarantee is implied.</w:t>
      </w:r>
    </w:p>
    <w:p>
      <w:pPr>
        <w:pStyle w:val="ListBullet"/>
      </w:pPr>
      <w:r>
        <w:t>Responsive, accessibility, error-state and E2E QA pass.</w:t>
      </w:r>
    </w:p>
    <w:p>
      <w:pPr>
        <w:pStyle w:val="Heading1"/>
      </w:pPr>
      <w:r>
        <w:t>23. Developer build sequence</w:t>
      </w:r>
    </w:p>
    <w:p>
      <w:r>
        <w:t>1. Audit current property inspection, asset check, site inspection and checklist configurations.</w:t>
      </w:r>
    </w:p>
    <w:p>
      <w:r>
        <w:t>2. Map them to ASOJU Inspect.</w:t>
      </w:r>
    </w:p>
    <w:p>
      <w:r>
        <w:t>3. Build the service page using the shared service-page system.</w:t>
      </w:r>
    </w:p>
    <w:p>
      <w:r>
        <w:t>4. Connect the Inspect Concierge prompts to the existing AI Concierge.</w:t>
      </w:r>
    </w:p>
    <w:p>
      <w:r>
        <w:t>5. Implement anonymous → authentication → case creation.</w:t>
      </w:r>
    </w:p>
    <w:p>
      <w:r>
        <w:t>6. Connect the request to scope, quote, assignment, field evidence and QC/report states.</w:t>
      </w:r>
    </w:p>
    <w:p>
      <w:r>
        <w:t>7. Add Inspect-vs-Build clarification.</w:t>
      </w:r>
    </w:p>
    <w:p>
      <w:r>
        <w:t>8. Run responsive, accessibility and E2E tests.</w:t>
      </w:r>
    </w:p>
    <w:p>
      <w:r>
        <w:t>9. Review copy against actual configured inspection capabilities before release.</w:t>
      </w:r>
    </w:p>
    <w:p>
      <w:pPr>
        <w:pStyle w:val="Heading1"/>
      </w:pPr>
      <w:r>
        <w:t>24. Product boundary</w:t>
      </w:r>
    </w:p>
    <w:p>
      <w:r>
        <w:t>ASOJU Inspect is the customer-facing family for physical inspection/checking needs. The current build documentation explicitly supports Property Inspection, Construction Supervision and Asset Checks; Construction Supervision belongs under ASOJU Build. Exact sub-services must be mapped to the current repository/configuration.</w:t>
      </w:r>
    </w:p>
    <w:p>
      <w:r>
        <w:t>This blueprint intentionally avoids inventing professional inspection, valuation, engineering or legal capabilities that are not supported by the supplied source material.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