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ASOJU 100-CUSTOMER GO-TO-MARKET PLAN</w:t>
      </w:r>
    </w:p>
    <w:p>
      <w:pPr>
        <w:jc w:val="center"/>
      </w:pPr>
      <w:r>
        <w:rPr>
          <w:b/>
        </w:rPr>
        <w:t>GTM v1.0 | First 100 Customers</w:t>
      </w:r>
    </w:p>
    <w:p>
      <w:r>
        <w:t>Brand: ASOJU — Your Trusted Rep Back Home.</w:t>
      </w:r>
    </w:p>
    <w:p>
      <w:r>
        <w:t>Purpose: turn the validated ASOJU proposition into a focused, measurable customer-acquisition system for the first 100 customers.</w:t>
      </w:r>
    </w:p>
    <w:p>
      <w:pPr>
        <w:pStyle w:val="Heading1"/>
      </w:pPr>
      <w:r>
        <w:t>1. GTM Objective</w:t>
      </w:r>
    </w:p>
    <w:p>
      <w:r>
        <w:t>The first 100 customers are not primarily a revenue target. They are ASOJU's market-validation engine.</w:t>
      </w:r>
    </w:p>
    <w:p>
      <w:pPr>
        <w:pStyle w:val="ListBullet"/>
      </w:pPr>
      <w:r>
        <w:t>Prove Nigerians abroad will pay for trusted representation.</w:t>
      </w:r>
    </w:p>
    <w:p>
      <w:pPr>
        <w:pStyle w:val="ListBullet"/>
      </w:pPr>
      <w:r>
        <w:t>Prove the strongest entry services and customer segments.</w:t>
      </w:r>
    </w:p>
    <w:p>
      <w:pPr>
        <w:pStyle w:val="ListBullet"/>
      </w:pPr>
      <w:r>
        <w:t>Prove customers trust ASOJU with increasingly important responsibilities.</w:t>
      </w:r>
    </w:p>
    <w:p>
      <w:pPr>
        <w:pStyle w:val="ListBullet"/>
      </w:pPr>
      <w:r>
        <w:t>Measure repeat purchase and recurring monitoring.</w:t>
      </w:r>
    </w:p>
    <w:p>
      <w:pPr>
        <w:pStyle w:val="ListBullet"/>
      </w:pPr>
      <w:r>
        <w:t>Generate referrals.</w:t>
      </w:r>
    </w:p>
    <w:p>
      <w:pPr>
        <w:pStyle w:val="ListBullet"/>
      </w:pPr>
      <w:r>
        <w:t>Establish delivery and acquisition economics.</w:t>
      </w:r>
    </w:p>
    <w:p>
      <w:pPr>
        <w:pStyle w:val="Heading1"/>
      </w:pPr>
      <w:r>
        <w:t>2. First-100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Milestone</w:t>
            </w:r>
          </w:p>
        </w:tc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Validation cohort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Prove the basic proposition</w:t>
            </w:r>
          </w:p>
        </w:tc>
      </w:tr>
      <w:tr>
        <w:tc>
          <w:tcPr>
            <w:tcW w:type="dxa" w:w="3408"/>
          </w:tcPr>
          <w:p>
            <w:r>
              <w:t>Early traction</w:t>
            </w:r>
          </w:p>
        </w:tc>
        <w:tc>
          <w:tcPr>
            <w:tcW w:type="dxa" w:w="3408"/>
          </w:tcPr>
          <w:p>
            <w:r>
              <w:t>25</w:t>
            </w:r>
          </w:p>
        </w:tc>
        <w:tc>
          <w:tcPr>
            <w:tcW w:type="dxa" w:w="3408"/>
          </w:tcPr>
          <w:p>
            <w:r>
              <w:t>Test pricing and delivery</w:t>
            </w:r>
          </w:p>
        </w:tc>
      </w:tr>
      <w:tr>
        <w:tc>
          <w:tcPr>
            <w:tcW w:type="dxa" w:w="3408"/>
          </w:tcPr>
          <w:p>
            <w:r>
              <w:t>Product-market signal</w:t>
            </w:r>
          </w:p>
        </w:tc>
        <w:tc>
          <w:tcPr>
            <w:tcW w:type="dxa" w:w="3408"/>
          </w:tcPr>
          <w:p>
            <w:r>
              <w:t>50</w:t>
            </w:r>
          </w:p>
        </w:tc>
        <w:tc>
          <w:tcPr>
            <w:tcW w:type="dxa" w:w="3408"/>
          </w:tcPr>
          <w:p>
            <w:r>
              <w:t>Identify strongest services and segments</w:t>
            </w:r>
          </w:p>
        </w:tc>
      </w:tr>
      <w:tr>
        <w:tc>
          <w:tcPr>
            <w:tcW w:type="dxa" w:w="3408"/>
          </w:tcPr>
          <w:p>
            <w:r>
              <w:t>Commercial validation</w:t>
            </w:r>
          </w:p>
        </w:tc>
        <w:tc>
          <w:tcPr>
            <w:tcW w:type="dxa" w:w="3408"/>
          </w:tcPr>
          <w:p>
            <w:r>
              <w:t>75</w:t>
            </w:r>
          </w:p>
        </w:tc>
        <w:tc>
          <w:tcPr>
            <w:tcW w:type="dxa" w:w="3408"/>
          </w:tcPr>
          <w:p>
            <w:r>
              <w:t>Test referrals and recurring services</w:t>
            </w:r>
          </w:p>
        </w:tc>
      </w:tr>
      <w:tr>
        <w:tc>
          <w:tcPr>
            <w:tcW w:type="dxa" w:w="3408"/>
          </w:tcPr>
          <w:p>
            <w:r>
              <w:t>First 100</w:t>
            </w:r>
          </w:p>
        </w:tc>
        <w:tc>
          <w:tcPr>
            <w:tcW w:type="dxa" w:w="3408"/>
          </w:tcPr>
          <w:p>
            <w:r>
              <w:t>100</w:t>
            </w:r>
          </w:p>
        </w:tc>
        <w:tc>
          <w:tcPr>
            <w:tcW w:type="dxa" w:w="3408"/>
          </w:tcPr>
          <w:p>
            <w:r>
              <w:t>Establish repeatable acquisition model</w:t>
            </w:r>
          </w:p>
        </w:tc>
      </w:tr>
    </w:tbl>
    <w:p>
      <w:r>
        <w:t>The objective is not merely 100 one-off transactions; it is 100 customers with measurable trust, satisfaction, repeat/referral potential and service economics.</w:t>
      </w:r>
    </w:p>
    <w:p>
      <w:pPr>
        <w:pStyle w:val="Heading1"/>
      </w:pPr>
      <w:r>
        <w:t>3. Geographic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Market</w:t>
            </w:r>
          </w:p>
        </w:tc>
        <w:tc>
          <w:tcPr>
            <w:tcW w:type="dxa" w:w="2556"/>
          </w:tcPr>
          <w:p>
            <w:r>
              <w:t>Initial Focus</w:t>
            </w:r>
          </w:p>
        </w:tc>
        <w:tc>
          <w:tcPr>
            <w:tcW w:type="dxa" w:w="2556"/>
          </w:tcPr>
          <w:p>
            <w:r>
              <w:t>Priority</w:t>
            </w:r>
          </w:p>
        </w:tc>
        <w:tc>
          <w:tcPr>
            <w:tcW w:type="dxa" w:w="2556"/>
          </w:tcPr>
          <w:p>
            <w:r>
              <w:t>Working Customer Target</w:t>
            </w:r>
          </w:p>
        </w:tc>
      </w:tr>
      <w:tr>
        <w:tc>
          <w:tcPr>
            <w:tcW w:type="dxa" w:w="2556"/>
          </w:tcPr>
          <w:p>
            <w:r>
              <w:t>UK</w:t>
            </w:r>
          </w:p>
        </w:tc>
        <w:tc>
          <w:tcPr>
            <w:tcW w:type="dxa" w:w="2556"/>
          </w:tcPr>
          <w:p>
            <w:r>
              <w:t>London; then Birmingham, Manchester, Leicester, Bristol</w:t>
            </w:r>
          </w:p>
        </w:tc>
        <w:tc>
          <w:tcPr>
            <w:tcW w:type="dxa" w:w="2556"/>
          </w:tcPr>
          <w:p>
            <w:r>
              <w:t>Very High</w:t>
            </w:r>
          </w:p>
        </w:tc>
        <w:tc>
          <w:tcPr>
            <w:tcW w:type="dxa" w:w="2556"/>
          </w:tcPr>
          <w:p>
            <w:r>
              <w:t>40</w:t>
            </w:r>
          </w:p>
        </w:tc>
      </w:tr>
      <w:tr>
        <w:tc>
          <w:tcPr>
            <w:tcW w:type="dxa" w:w="2556"/>
          </w:tcPr>
          <w:p>
            <w:r>
              <w:t>USA</w:t>
            </w:r>
          </w:p>
        </w:tc>
        <w:tc>
          <w:tcPr>
            <w:tcW w:type="dxa" w:w="2556"/>
          </w:tcPr>
          <w:p>
            <w:r>
              <w:t>Houston; then Dallas, Atlanta, DC/MD/VA, New York/New Jersey</w:t>
            </w:r>
          </w:p>
        </w:tc>
        <w:tc>
          <w:tcPr>
            <w:tcW w:type="dxa" w:w="2556"/>
          </w:tcPr>
          <w:p>
            <w:r>
              <w:t>Very High</w:t>
            </w:r>
          </w:p>
        </w:tc>
        <w:tc>
          <w:tcPr>
            <w:tcW w:type="dxa" w:w="2556"/>
          </w:tcPr>
          <w:p>
            <w:r>
              <w:t>35</w:t>
            </w:r>
          </w:p>
        </w:tc>
      </w:tr>
      <w:tr>
        <w:tc>
          <w:tcPr>
            <w:tcW w:type="dxa" w:w="2556"/>
          </w:tcPr>
          <w:p>
            <w:r>
              <w:t>Canada</w:t>
            </w:r>
          </w:p>
        </w:tc>
        <w:tc>
          <w:tcPr>
            <w:tcW w:type="dxa" w:w="2556"/>
          </w:tcPr>
          <w:p>
            <w:r>
              <w:t>Toronto/GTA; then Calgary, Edmonton, Ottawa</w:t>
            </w:r>
          </w:p>
        </w:tc>
        <w:tc>
          <w:tcPr>
            <w:tcW w:type="dxa" w:w="2556"/>
          </w:tcPr>
          <w:p>
            <w:r>
              <w:t>High</w:t>
            </w:r>
          </w:p>
        </w:tc>
        <w:tc>
          <w:tcPr>
            <w:tcW w:type="dxa" w:w="2556"/>
          </w:tcPr>
          <w:p>
            <w:r>
              <w:t>20</w:t>
            </w:r>
          </w:p>
        </w:tc>
      </w:tr>
      <w:tr>
        <w:tc>
          <w:tcPr>
            <w:tcW w:type="dxa" w:w="2556"/>
          </w:tcPr>
          <w:p>
            <w:r>
              <w:t>Other</w:t>
            </w:r>
          </w:p>
        </w:tc>
        <w:tc>
          <w:tcPr>
            <w:tcW w:type="dxa" w:w="2556"/>
          </w:tcPr>
          <w:p>
            <w:r>
              <w:t>Selective opportunities</w:t>
            </w:r>
          </w:p>
        </w:tc>
        <w:tc>
          <w:tcPr>
            <w:tcW w:type="dxa" w:w="2556"/>
          </w:tcPr>
          <w:p>
            <w:r>
              <w:t>Test only</w:t>
            </w:r>
          </w:p>
        </w:tc>
        <w:tc>
          <w:tcPr>
            <w:tcW w:type="dxa" w:w="2556"/>
          </w:tcPr>
          <w:p>
            <w:r>
              <w:t>5</w:t>
            </w:r>
          </w:p>
        </w:tc>
      </w:tr>
      <w:tr>
        <w:tc>
          <w:tcPr>
            <w:tcW w:type="dxa" w:w="2556"/>
          </w:tcPr>
          <w:p>
            <w:r>
              <w:t>TOTAL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>
              <w:t>100</w:t>
            </w:r>
          </w:p>
        </w:tc>
      </w:tr>
    </w:tbl>
    <w:p>
      <w:r>
        <w:t>These allocations are working hypotheses and should shift toward markets with the best qualified-lead conversion, service economics and referral potential.</w:t>
      </w:r>
    </w:p>
    <w:p>
      <w:pPr>
        <w:pStyle w:val="Heading1"/>
      </w:pPr>
      <w:r>
        <w:t>4. Phase 1 Service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Service</w:t>
            </w:r>
          </w:p>
        </w:tc>
        <w:tc>
          <w:tcPr>
            <w:tcW w:type="dxa" w:w="3408"/>
          </w:tcPr>
          <w:p>
            <w:r>
              <w:t>Target Share</w:t>
            </w:r>
          </w:p>
        </w:tc>
        <w:tc>
          <w:tcPr>
            <w:tcW w:type="dxa" w:w="3408"/>
          </w:tcPr>
          <w:p>
            <w:r>
              <w:t>Role in GTM</w:t>
            </w:r>
          </w:p>
        </w:tc>
      </w:tr>
      <w:tr>
        <w:tc>
          <w:tcPr>
            <w:tcW w:type="dxa" w:w="3408"/>
          </w:tcPr>
          <w:p>
            <w:r>
              <w:t>Property Verification</w:t>
            </w:r>
          </w:p>
        </w:tc>
        <w:tc>
          <w:tcPr>
            <w:tcW w:type="dxa" w:w="3408"/>
          </w:tcPr>
          <w:p>
            <w:r>
              <w:t>25%</w:t>
            </w:r>
          </w:p>
        </w:tc>
        <w:tc>
          <w:tcPr>
            <w:tcW w:type="dxa" w:w="3408"/>
          </w:tcPr>
          <w:p>
            <w:r>
              <w:t>Acquisition / trust gateway</w:t>
            </w:r>
          </w:p>
        </w:tc>
      </w:tr>
      <w:tr>
        <w:tc>
          <w:tcPr>
            <w:tcW w:type="dxa" w:w="3408"/>
          </w:tcPr>
          <w:p>
            <w:r>
              <w:t>Construction Monitoring</w:t>
            </w:r>
          </w:p>
        </w:tc>
        <w:tc>
          <w:tcPr>
            <w:tcW w:type="dxa" w:w="3408"/>
          </w:tcPr>
          <w:p>
            <w:r>
              <w:t>25%</w:t>
            </w:r>
          </w:p>
        </w:tc>
        <w:tc>
          <w:tcPr>
            <w:tcW w:type="dxa" w:w="3408"/>
          </w:tcPr>
          <w:p>
            <w:r>
              <w:t>High-value execution + recurring potential</w:t>
            </w:r>
          </w:p>
        </w:tc>
      </w:tr>
      <w:tr>
        <w:tc>
          <w:tcPr>
            <w:tcW w:type="dxa" w:w="3408"/>
          </w:tcPr>
          <w:p>
            <w:r>
              <w:t>Property/Asset Monitoring</w:t>
            </w:r>
          </w:p>
        </w:tc>
        <w:tc>
          <w:tcPr>
            <w:tcW w:type="dxa" w:w="3408"/>
          </w:tcPr>
          <w:p>
            <w:r>
              <w:t>20%</w:t>
            </w:r>
          </w:p>
        </w:tc>
        <w:tc>
          <w:tcPr>
            <w:tcW w:type="dxa" w:w="3408"/>
          </w:tcPr>
          <w:p>
            <w:r>
              <w:t>Retention / recurring revenue</w:t>
            </w:r>
          </w:p>
        </w:tc>
      </w:tr>
      <w:tr>
        <w:tc>
          <w:tcPr>
            <w:tcW w:type="dxa" w:w="3408"/>
          </w:tcPr>
          <w:p>
            <w:r>
              <w:t>Concierge</w:t>
            </w:r>
          </w:p>
        </w:tc>
        <w:tc>
          <w:tcPr>
            <w:tcW w:type="dxa" w:w="3408"/>
          </w:tcPr>
          <w:p>
            <w:r>
              <w:t>15%</w:t>
            </w:r>
          </w:p>
        </w:tc>
        <w:tc>
          <w:tcPr>
            <w:tcW w:type="dxa" w:w="3408"/>
          </w:tcPr>
          <w:p>
            <w:r>
              <w:t>Broad entry point and product-discovery engine</w:t>
            </w:r>
          </w:p>
        </w:tc>
      </w:tr>
      <w:tr>
        <w:tc>
          <w:tcPr>
            <w:tcW w:type="dxa" w:w="3408"/>
          </w:tcPr>
          <w:p>
            <w:r>
              <w:t>Business/Site Monitoring</w:t>
            </w:r>
          </w:p>
        </w:tc>
        <w:tc>
          <w:tcPr>
            <w:tcW w:type="dxa" w:w="3408"/>
          </w:tcPr>
          <w:p>
            <w:r>
              <w:t>15%</w:t>
            </w:r>
          </w:p>
        </w:tc>
        <w:tc>
          <w:tcPr>
            <w:tcW w:type="dxa" w:w="3408"/>
          </w:tcPr>
          <w:p>
            <w:r>
              <w:t>Higher-value B2B expansion</w:t>
            </w:r>
          </w:p>
        </w:tc>
      </w:tr>
    </w:tbl>
    <w:p>
      <w:pPr>
        <w:pStyle w:val="Heading1"/>
      </w:pPr>
      <w:r>
        <w:t>5. Acquisition Engine</w:t>
      </w:r>
    </w:p>
    <w:p>
      <w:pPr>
        <w:pStyle w:val="ListBullet"/>
      </w:pPr>
      <w:r>
        <w:t>Referral — highest strategic priority.</w:t>
      </w:r>
    </w:p>
    <w:p>
      <w:pPr>
        <w:pStyle w:val="ListBullet"/>
      </w:pPr>
      <w:r>
        <w:t>Diaspora communities — associations, professional groups, alumni and community networks.</w:t>
      </w:r>
    </w:p>
    <w:p>
      <w:pPr>
        <w:pStyle w:val="ListBullet"/>
      </w:pPr>
      <w:r>
        <w:t>Strategic partnerships — diaspora-facing professionals and organizations.</w:t>
      </w:r>
    </w:p>
    <w:p>
      <w:pPr>
        <w:pStyle w:val="ListBullet"/>
      </w:pPr>
      <w:r>
        <w:t>Educational content — problem-led, trust-building content.</w:t>
      </w:r>
    </w:p>
    <w:p>
      <w:pPr>
        <w:pStyle w:val="ListBullet"/>
      </w:pPr>
      <w:r>
        <w:t>Organic social — Facebook, Instagram, LinkedIn, YouTube and WhatsApp.</w:t>
      </w:r>
    </w:p>
    <w:p>
      <w:pPr>
        <w:pStyle w:val="ListBullet"/>
      </w:pPr>
      <w:r>
        <w:t>Paid acquisition — scale only after identifying a converting offer and message.</w:t>
      </w:r>
    </w:p>
    <w:p>
      <w:pPr>
        <w:pStyle w:val="Heading1"/>
      </w:pPr>
      <w:r>
        <w:t>6. Referral Engine</w:t>
      </w:r>
    </w:p>
    <w:p>
      <w:r>
        <w:t>After successful delivery, the customer should be invited to refer someone who needs a trusted rep back home.</w:t>
      </w:r>
    </w:p>
    <w:p>
      <w:pPr>
        <w:pStyle w:val="ListBullet"/>
      </w:pPr>
      <w:r>
        <w:t>Test service credits, priority benefits and other non-cash referral incentives.</w:t>
      </w:r>
    </w:p>
    <w:p>
      <w:pPr>
        <w:pStyle w:val="ListBullet"/>
      </w:pPr>
      <w:r>
        <w:t>Track referred lead source and conversion.</w:t>
      </w:r>
    </w:p>
    <w:p>
      <w:pPr>
        <w:pStyle w:val="ListBullet"/>
      </w:pPr>
      <w:r>
        <w:t>Reward successful referrals without undermining the premium positioning.</w:t>
      </w:r>
    </w:p>
    <w:p>
      <w:pPr>
        <w:pStyle w:val="ListBullet"/>
      </w:pPr>
      <w:r>
        <w:t>Use customer stories/testimonials only with explicit permission.</w:t>
      </w:r>
    </w:p>
    <w:p>
      <w:r>
        <w:t>Target: 25 of the first 100 customers from referrals.</w:t>
      </w:r>
    </w:p>
    <w:p>
      <w:pPr>
        <w:pStyle w:val="Heading1"/>
      </w:pPr>
      <w:r>
        <w:t>7. Diaspora Community Strategy</w:t>
      </w:r>
    </w:p>
    <w:p>
      <w:pPr>
        <w:pStyle w:val="ListBullet"/>
      </w:pPr>
      <w:r>
        <w:t>Nigerian associations</w:t>
      </w:r>
    </w:p>
    <w:p>
      <w:pPr>
        <w:pStyle w:val="ListBullet"/>
      </w:pPr>
      <w:r>
        <w:t>Professional groups</w:t>
      </w:r>
    </w:p>
    <w:p>
      <w:pPr>
        <w:pStyle w:val="ListBullet"/>
      </w:pPr>
      <w:r>
        <w:t>Alumni associations</w:t>
      </w:r>
    </w:p>
    <w:p>
      <w:pPr>
        <w:pStyle w:val="ListBullet"/>
      </w:pPr>
      <w:r>
        <w:t>Church communities</w:t>
      </w:r>
    </w:p>
    <w:p>
      <w:pPr>
        <w:pStyle w:val="ListBullet"/>
      </w:pPr>
      <w:r>
        <w:t>Cultural organizations</w:t>
      </w:r>
    </w:p>
    <w:p>
      <w:pPr>
        <w:pStyle w:val="ListBullet"/>
      </w:pPr>
      <w:r>
        <w:t>Business networks</w:t>
      </w:r>
    </w:p>
    <w:p>
      <w:pPr>
        <w:pStyle w:val="ListBullet"/>
      </w:pPr>
      <w:r>
        <w:t>Diaspora investment groups</w:t>
      </w:r>
    </w:p>
    <w:p>
      <w:r>
        <w:t>Lead with useful education rather than hard selling. Example: “How to protect a construction project in Nigeria when you live abroad.”</w:t>
      </w:r>
    </w:p>
    <w:p>
      <w:pPr>
        <w:pStyle w:val="Heading1"/>
      </w:pPr>
      <w:r>
        <w:t>8. Strategic Partnerships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Partner</w:t>
            </w:r>
          </w:p>
        </w:tc>
        <w:tc>
          <w:tcPr>
            <w:tcW w:type="dxa" w:w="3408"/>
          </w:tcPr>
          <w:p>
            <w:r>
              <w:t>What they already provide</w:t>
            </w:r>
          </w:p>
        </w:tc>
        <w:tc>
          <w:tcPr>
            <w:tcW w:type="dxa" w:w="3408"/>
          </w:tcPr>
          <w:p>
            <w:r>
              <w:t>ASOJU role</w:t>
            </w:r>
          </w:p>
        </w:tc>
      </w:tr>
      <w:tr>
        <w:tc>
          <w:tcPr>
            <w:tcW w:type="dxa" w:w="3408"/>
          </w:tcPr>
          <w:p>
            <w:r>
              <w:t>Real estate professionals</w:t>
            </w:r>
          </w:p>
        </w:tc>
        <w:tc>
          <w:tcPr>
            <w:tcW w:type="dxa" w:w="3408"/>
          </w:tcPr>
          <w:p>
            <w:r>
              <w:t>Property discovery/sales</w:t>
            </w:r>
          </w:p>
        </w:tc>
        <w:tc>
          <w:tcPr>
            <w:tcW w:type="dxa" w:w="3408"/>
          </w:tcPr>
          <w:p>
            <w:r>
              <w:t>Independent physical verification</w:t>
            </w:r>
          </w:p>
        </w:tc>
      </w:tr>
      <w:tr>
        <w:tc>
          <w:tcPr>
            <w:tcW w:type="dxa" w:w="3408"/>
          </w:tcPr>
          <w:p>
            <w:r>
              <w:t>Diaspora-focused lawyers</w:t>
            </w:r>
          </w:p>
        </w:tc>
        <w:tc>
          <w:tcPr>
            <w:tcW w:type="dxa" w:w="3408"/>
          </w:tcPr>
          <w:p>
            <w:r>
              <w:t>Legal advice/documentation</w:t>
            </w:r>
          </w:p>
        </w:tc>
        <w:tc>
          <w:tcPr>
            <w:tcW w:type="dxa" w:w="3408"/>
          </w:tcPr>
          <w:p>
            <w:r>
              <w:t>Physical verification/execution where appropriate</w:t>
            </w:r>
          </w:p>
        </w:tc>
      </w:tr>
      <w:tr>
        <w:tc>
          <w:tcPr>
            <w:tcW w:type="dxa" w:w="3408"/>
          </w:tcPr>
          <w:p>
            <w:r>
              <w:t>Accountants/financial professionals</w:t>
            </w:r>
          </w:p>
        </w:tc>
        <w:tc>
          <w:tcPr>
            <w:tcW w:type="dxa" w:w="3408"/>
          </w:tcPr>
          <w:p>
            <w:r>
              <w:t>Financial/tax guidance</w:t>
            </w:r>
          </w:p>
        </w:tc>
        <w:tc>
          <w:tcPr>
            <w:tcW w:type="dxa" w:w="3408"/>
          </w:tcPr>
          <w:p>
            <w:r>
              <w:t>Local operational execution</w:t>
            </w:r>
          </w:p>
        </w:tc>
      </w:tr>
      <w:tr>
        <w:tc>
          <w:tcPr>
            <w:tcW w:type="dxa" w:w="3408"/>
          </w:tcPr>
          <w:p>
            <w:r>
              <w:t>Immigration/travel professionals</w:t>
            </w:r>
          </w:p>
        </w:tc>
        <w:tc>
          <w:tcPr>
            <w:tcW w:type="dxa" w:w="3408"/>
          </w:tcPr>
          <w:p>
            <w:r>
              <w:t>Diaspora customer relationships</w:t>
            </w:r>
          </w:p>
        </w:tc>
        <w:tc>
          <w:tcPr>
            <w:tcW w:type="dxa" w:w="3408"/>
          </w:tcPr>
          <w:p>
            <w:r>
              <w:t>Nigeria-side support</w:t>
            </w:r>
          </w:p>
        </w:tc>
      </w:tr>
      <w:tr>
        <w:tc>
          <w:tcPr>
            <w:tcW w:type="dxa" w:w="3408"/>
          </w:tcPr>
          <w:p>
            <w:r>
              <w:t>Diaspora organizations</w:t>
            </w:r>
          </w:p>
        </w:tc>
        <w:tc>
          <w:tcPr>
            <w:tcW w:type="dxa" w:w="3408"/>
          </w:tcPr>
          <w:p>
            <w:r>
              <w:t>Community trust and reach</w:t>
            </w:r>
          </w:p>
        </w:tc>
        <w:tc>
          <w:tcPr>
            <w:tcW w:type="dxa" w:w="3408"/>
          </w:tcPr>
          <w:p>
            <w:r>
              <w:t>Preferred service/benefit partner</w:t>
            </w:r>
          </w:p>
        </w:tc>
      </w:tr>
    </w:tbl>
    <w:p>
      <w:r>
        <w:t>Principle: do not compete with trusted professionals; become the execution partner they can refer.</w:t>
      </w:r>
    </w:p>
    <w:p>
      <w:pPr>
        <w:pStyle w:val="Heading1"/>
      </w:pPr>
      <w:r>
        <w:t>9. Problem-Led Content</w:t>
      </w:r>
    </w:p>
    <w:p>
      <w:pPr>
        <w:pStyle w:val="ListBullet"/>
      </w:pPr>
      <w:r>
        <w:t>“5 things to verify before buying land in Nigeria from abroad.”</w:t>
      </w:r>
    </w:p>
    <w:p>
      <w:pPr>
        <w:pStyle w:val="ListBullet"/>
      </w:pPr>
      <w:r>
        <w:t>“Your contractor sent you photos. What should you check next?”</w:t>
      </w:r>
    </w:p>
    <w:p>
      <w:pPr>
        <w:pStyle w:val="ListBullet"/>
      </w:pPr>
      <w:r>
        <w:t>“Why sending someone ₦10m isn't the same as supervising ₦10m.”</w:t>
      </w:r>
    </w:p>
    <w:p>
      <w:pPr>
        <w:pStyle w:val="ListBullet"/>
      </w:pPr>
      <w:r>
        <w:t>“The hidden cost of managing Nigeria from abroad.”</w:t>
      </w:r>
    </w:p>
    <w:p>
      <w:pPr>
        <w:pStyle w:val="ListBullet"/>
      </w:pPr>
      <w:r>
        <w:t>“What would you check if you could physically be there?”</w:t>
      </w:r>
    </w:p>
    <w:p>
      <w:r>
        <w:t>Content should sell the problem and the consequence before presenting the service.</w:t>
      </w:r>
    </w:p>
    <w:p>
      <w:pPr>
        <w:pStyle w:val="Heading1"/>
      </w:pPr>
      <w:r>
        <w:t>10. Flagship Acquisition Offer</w:t>
      </w:r>
    </w:p>
    <w:p>
      <w:pPr>
        <w:pStyle w:val="Heading2"/>
      </w:pPr>
      <w:r>
        <w:t>ASOJU Property Verification</w:t>
      </w:r>
    </w:p>
    <w:p>
      <w:r>
        <w:t>Core promise: “Know what is actually happening before you commit more money.”</w:t>
      </w:r>
    </w:p>
    <w:p>
      <w:pPr>
        <w:pStyle w:val="ListBullet"/>
      </w:pPr>
      <w:r>
        <w:t>Defined inspection scope</w:t>
      </w:r>
    </w:p>
    <w:p>
      <w:pPr>
        <w:pStyle w:val="ListBullet"/>
      </w:pPr>
      <w:r>
        <w:t>Verified field representative</w:t>
      </w:r>
    </w:p>
    <w:p>
      <w:pPr>
        <w:pStyle w:val="ListBullet"/>
      </w:pPr>
      <w:r>
        <w:t>Physical inspection</w:t>
      </w:r>
    </w:p>
    <w:p>
      <w:pPr>
        <w:pStyle w:val="ListBullet"/>
      </w:pPr>
      <w:r>
        <w:t>Structured checklist</w:t>
      </w:r>
    </w:p>
    <w:p>
      <w:pPr>
        <w:pStyle w:val="ListBullet"/>
      </w:pPr>
      <w:r>
        <w:t>Evidence</w:t>
      </w:r>
    </w:p>
    <w:p>
      <w:pPr>
        <w:pStyle w:val="ListBullet"/>
      </w:pPr>
      <w:r>
        <w:t>Findings</w:t>
      </w:r>
    </w:p>
    <w:p>
      <w:pPr>
        <w:pStyle w:val="ListBullet"/>
      </w:pPr>
      <w:r>
        <w:t>Quality control</w:t>
      </w:r>
    </w:p>
    <w:p>
      <w:pPr>
        <w:pStyle w:val="ListBullet"/>
      </w:pPr>
      <w:r>
        <w:t>Customer report</w:t>
      </w:r>
    </w:p>
    <w:p>
      <w:r>
        <w:t>This is designed to become the trust gateway into the wider ASOJU relationship.</w:t>
      </w:r>
    </w:p>
    <w:p>
      <w:pPr>
        <w:pStyle w:val="Heading1"/>
      </w:pPr>
      <w:r>
        <w:t>11. Concierge-First Funnel</w:t>
      </w:r>
    </w:p>
    <w:p>
      <w:r>
        <w:t>The customer should not need to know which ASOJU service to buy.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Stage</w:t>
            </w:r>
          </w:p>
        </w:tc>
        <w:tc>
          <w:tcPr>
            <w:tcW w:type="dxa" w:w="3408"/>
          </w:tcPr>
          <w:p>
            <w:r>
              <w:t>Customer experience</w:t>
            </w:r>
          </w:p>
        </w:tc>
        <w:tc>
          <w:tcPr>
            <w:tcW w:type="dxa" w:w="3408"/>
          </w:tcPr>
          <w:p>
            <w:r>
              <w:t>ASOJU action</w:t>
            </w:r>
          </w:p>
        </w:tc>
      </w:tr>
      <w:tr>
        <w:tc>
          <w:tcPr>
            <w:tcW w:type="dxa" w:w="3408"/>
          </w:tcPr>
          <w:p>
            <w:r>
              <w:t>1. Discover</w:t>
            </w:r>
          </w:p>
        </w:tc>
        <w:tc>
          <w:tcPr>
            <w:tcW w:type="dxa" w:w="3408"/>
          </w:tcPr>
          <w:p>
            <w:r>
              <w:t>Sees useful content or referral</w:t>
            </w:r>
          </w:p>
        </w:tc>
        <w:tc>
          <w:tcPr>
            <w:tcW w:type="dxa" w:w="3408"/>
          </w:tcPr>
          <w:p>
            <w:r>
              <w:t>Build trust</w:t>
            </w:r>
          </w:p>
        </w:tc>
      </w:tr>
      <w:tr>
        <w:tc>
          <w:tcPr>
            <w:tcW w:type="dxa" w:w="3408"/>
          </w:tcPr>
          <w:p>
            <w:r>
              <w:t>2. State problem</w:t>
            </w:r>
          </w:p>
        </w:tc>
        <w:tc>
          <w:tcPr>
            <w:tcW w:type="dxa" w:w="3408"/>
          </w:tcPr>
          <w:p>
            <w:r>
              <w:t>“I need something handled back home.”</w:t>
            </w:r>
          </w:p>
        </w:tc>
        <w:tc>
          <w:tcPr>
            <w:tcW w:type="dxa" w:w="3408"/>
          </w:tcPr>
          <w:p>
            <w:r>
              <w:t>Concierge captures intent</w:t>
            </w:r>
          </w:p>
        </w:tc>
      </w:tr>
      <w:tr>
        <w:tc>
          <w:tcPr>
            <w:tcW w:type="dxa" w:w="3408"/>
          </w:tcPr>
          <w:p>
            <w:r>
              <w:t>3. Qualify</w:t>
            </w:r>
          </w:p>
        </w:tc>
        <w:tc>
          <w:tcPr>
            <w:tcW w:type="dxa" w:w="3408"/>
          </w:tcPr>
          <w:p>
            <w:r>
              <w:t>Location, scope, urgency, evidence</w:t>
            </w:r>
          </w:p>
        </w:tc>
        <w:tc>
          <w:tcPr>
            <w:tcW w:type="dxa" w:w="3408"/>
          </w:tcPr>
          <w:p>
            <w:r>
              <w:t>AI + human qualification</w:t>
            </w:r>
          </w:p>
        </w:tc>
      </w:tr>
      <w:tr>
        <w:tc>
          <w:tcPr>
            <w:tcW w:type="dxa" w:w="3408"/>
          </w:tcPr>
          <w:p>
            <w:r>
              <w:t>4. Quote</w:t>
            </w:r>
          </w:p>
        </w:tc>
        <w:tc>
          <w:tcPr>
            <w:tcW w:type="dxa" w:w="3408"/>
          </w:tcPr>
          <w:p>
            <w:r>
              <w:t>Clear scope, price and timeline</w:t>
            </w:r>
          </w:p>
        </w:tc>
        <w:tc>
          <w:tcPr>
            <w:tcW w:type="dxa" w:w="3408"/>
          </w:tcPr>
          <w:p>
            <w:r>
              <w:t>Operations prepares quote</w:t>
            </w:r>
          </w:p>
        </w:tc>
      </w:tr>
      <w:tr>
        <w:tc>
          <w:tcPr>
            <w:tcW w:type="dxa" w:w="3408"/>
          </w:tcPr>
          <w:p>
            <w:r>
              <w:t>5. Authorize</w:t>
            </w:r>
          </w:p>
        </w:tc>
        <w:tc>
          <w:tcPr>
            <w:tcW w:type="dxa" w:w="3408"/>
          </w:tcPr>
          <w:p>
            <w:r>
              <w:t>Approves and pays</w:t>
            </w:r>
          </w:p>
        </w:tc>
        <w:tc>
          <w:tcPr>
            <w:tcW w:type="dxa" w:w="3408"/>
          </w:tcPr>
          <w:p>
            <w:r>
              <w:t>Case opened</w:t>
            </w:r>
          </w:p>
        </w:tc>
      </w:tr>
      <w:tr>
        <w:tc>
          <w:tcPr>
            <w:tcW w:type="dxa" w:w="3408"/>
          </w:tcPr>
          <w:p>
            <w:r>
              <w:t>6. Execute</w:t>
            </w:r>
          </w:p>
        </w:tc>
        <w:tc>
          <w:tcPr>
            <w:tcW w:type="dxa" w:w="3408"/>
          </w:tcPr>
          <w:p>
            <w:r>
              <w:t>Work happens</w:t>
            </w:r>
          </w:p>
        </w:tc>
        <w:tc>
          <w:tcPr>
            <w:tcW w:type="dxa" w:w="3408"/>
          </w:tcPr>
          <w:p>
            <w:r>
              <w:t>Field network performs</w:t>
            </w:r>
          </w:p>
        </w:tc>
      </w:tr>
      <w:tr>
        <w:tc>
          <w:tcPr>
            <w:tcW w:type="dxa" w:w="3408"/>
          </w:tcPr>
          <w:p>
            <w:r>
              <w:t>7. Verify</w:t>
            </w:r>
          </w:p>
        </w:tc>
        <w:tc>
          <w:tcPr>
            <w:tcW w:type="dxa" w:w="3408"/>
          </w:tcPr>
          <w:p>
            <w:r>
              <w:t>Evidence + QC</w:t>
            </w:r>
          </w:p>
        </w:tc>
        <w:tc>
          <w:tcPr>
            <w:tcW w:type="dxa" w:w="3408"/>
          </w:tcPr>
          <w:p>
            <w:r>
              <w:t>ASOJU validates</w:t>
            </w:r>
          </w:p>
        </w:tc>
      </w:tr>
      <w:tr>
        <w:tc>
          <w:tcPr>
            <w:tcW w:type="dxa" w:w="3408"/>
          </w:tcPr>
          <w:p>
            <w:r>
              <w:t>8. Report</w:t>
            </w:r>
          </w:p>
        </w:tc>
        <w:tc>
          <w:tcPr>
            <w:tcW w:type="dxa" w:w="3408"/>
          </w:tcPr>
          <w:p>
            <w:r>
              <w:t>Customer receives outcome</w:t>
            </w:r>
          </w:p>
        </w:tc>
        <w:tc>
          <w:tcPr>
            <w:tcW w:type="dxa" w:w="3408"/>
          </w:tcPr>
          <w:p>
            <w:r>
              <w:t>Close case</w:t>
            </w:r>
          </w:p>
        </w:tc>
      </w:tr>
      <w:tr>
        <w:tc>
          <w:tcPr>
            <w:tcW w:type="dxa" w:w="3408"/>
          </w:tcPr>
          <w:p>
            <w:r>
              <w:t>9. Continue</w:t>
            </w:r>
          </w:p>
        </w:tc>
        <w:tc>
          <w:tcPr>
            <w:tcW w:type="dxa" w:w="3408"/>
          </w:tcPr>
          <w:p>
            <w:r>
              <w:t>Needs ongoing oversight</w:t>
            </w:r>
          </w:p>
        </w:tc>
        <w:tc>
          <w:tcPr>
            <w:tcW w:type="dxa" w:w="3408"/>
          </w:tcPr>
          <w:p>
            <w:r>
              <w:t>Offer monitoring/representation</w:t>
            </w:r>
          </w:p>
        </w:tc>
      </w:tr>
    </w:tbl>
    <w:p>
      <w:pPr>
        <w:pStyle w:val="Heading1"/>
      </w:pPr>
      <w:r>
        <w:t>12. Acquisition Funnel</w:t>
      </w:r>
    </w:p>
    <w:p>
      <w:r>
        <w:t>CONTENT → PROBLEM → EDUCATION → TRUST → REQUEST VERIFICATION → FIRST SERVICE → REPEAT → RECURRING → REPRESENTATION</w:t>
      </w:r>
    </w:p>
    <w:p>
      <w:pPr>
        <w:pStyle w:val="Heading1"/>
      </w:pPr>
      <w:r>
        <w:t>13. First-100 Acquisition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Channel</w:t>
            </w:r>
          </w:p>
        </w:tc>
        <w:tc>
          <w:tcPr>
            <w:tcW w:type="dxa" w:w="5112"/>
          </w:tcPr>
          <w:p>
            <w:r>
              <w:t>Target Customers</w:t>
            </w:r>
          </w:p>
        </w:tc>
      </w:tr>
      <w:tr>
        <w:tc>
          <w:tcPr>
            <w:tcW w:type="dxa" w:w="5112"/>
          </w:tcPr>
          <w:p>
            <w:r>
              <w:t>Referrals</w:t>
            </w:r>
          </w:p>
        </w:tc>
        <w:tc>
          <w:tcPr>
            <w:tcW w:type="dxa" w:w="5112"/>
          </w:tcPr>
          <w:p>
            <w:r>
              <w:t>25</w:t>
            </w:r>
          </w:p>
        </w:tc>
      </w:tr>
      <w:tr>
        <w:tc>
          <w:tcPr>
            <w:tcW w:type="dxa" w:w="5112"/>
          </w:tcPr>
          <w:p>
            <w:r>
              <w:t>Community partnerships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Strategic partners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Organic content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Direct outreach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Paid advertising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Events/networking</w:t>
            </w:r>
          </w:p>
        </w:tc>
        <w:tc>
          <w:tcPr>
            <w:tcW w:type="dxa" w:w="5112"/>
          </w:tcPr>
          <w:p>
            <w:r>
              <w:t>5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100</w:t>
            </w:r>
          </w:p>
        </w:tc>
      </w:tr>
    </w:tbl>
    <w:p>
      <w:pPr>
        <w:pStyle w:val="Heading1"/>
      </w:pPr>
      <w:r>
        <w:t>14. 90-Day Execution Plan</w:t>
      </w:r>
    </w:p>
    <w:p>
      <w:pPr>
        <w:pStyle w:val="Heading2"/>
      </w:pPr>
      <w:r>
        <w:t>Days 1–30 — VALIDATE</w:t>
      </w:r>
    </w:p>
    <w:p>
      <w:r>
        <w:t>Target: 10–20 customers.</w:t>
      </w:r>
    </w:p>
    <w:p>
      <w:pPr>
        <w:pStyle w:val="ListBullet"/>
      </w:pPr>
      <w:r>
        <w:t>Founder-led sales</w:t>
      </w:r>
    </w:p>
    <w:p>
      <w:pPr>
        <w:pStyle w:val="ListBullet"/>
      </w:pPr>
      <w:r>
        <w:t>Personal networks and diaspora communities</w:t>
      </w:r>
    </w:p>
    <w:p>
      <w:pPr>
        <w:pStyle w:val="ListBullet"/>
      </w:pPr>
      <w:r>
        <w:t>Referrals</w:t>
      </w:r>
    </w:p>
    <w:p>
      <w:pPr>
        <w:pStyle w:val="ListBullet"/>
      </w:pPr>
      <w:r>
        <w:t>Strategic partnerships</w:t>
      </w:r>
    </w:p>
    <w:p>
      <w:pPr>
        <w:pStyle w:val="ListBullet"/>
      </w:pPr>
      <w:r>
        <w:t>Avoid aggressive paid scaling before conversion evidence.</w:t>
      </w:r>
    </w:p>
    <w:p>
      <w:r>
        <w:t>Primary question: Will people pay?</w:t>
      </w:r>
    </w:p>
    <w:p>
      <w:pPr>
        <w:pStyle w:val="Heading2"/>
      </w:pPr>
      <w:r>
        <w:t>Days 31–60 — REPEAT</w:t>
      </w:r>
    </w:p>
    <w:p>
      <w:r>
        <w:t>Target: 30–40 cumulative customers.</w:t>
      </w:r>
    </w:p>
    <w:p>
      <w:pPr>
        <w:pStyle w:val="ListBullet"/>
      </w:pPr>
      <w:r>
        <w:t>Identify best service</w:t>
      </w:r>
    </w:p>
    <w:p>
      <w:pPr>
        <w:pStyle w:val="ListBullet"/>
      </w:pPr>
      <w:r>
        <w:t>Identify best customer segment</w:t>
      </w:r>
    </w:p>
    <w:p>
      <w:pPr>
        <w:pStyle w:val="ListBullet"/>
      </w:pPr>
      <w:r>
        <w:t>Identify best geography</w:t>
      </w:r>
    </w:p>
    <w:p>
      <w:pPr>
        <w:pStyle w:val="ListBullet"/>
      </w:pPr>
      <w:r>
        <w:t>Identify strongest acquisition channel</w:t>
      </w:r>
    </w:p>
    <w:p>
      <w:pPr>
        <w:pStyle w:val="ListBullet"/>
      </w:pPr>
      <w:r>
        <w:t>Test pricing and objections</w:t>
      </w:r>
    </w:p>
    <w:p>
      <w:pPr>
        <w:pStyle w:val="ListBullet"/>
      </w:pPr>
      <w:r>
        <w:t>Introduce recurring offer after successful cases.</w:t>
      </w:r>
    </w:p>
    <w:p>
      <w:r>
        <w:t>Primary question: Can we repeat the acquisition pattern?</w:t>
      </w:r>
    </w:p>
    <w:p>
      <w:pPr>
        <w:pStyle w:val="Heading2"/>
      </w:pPr>
      <w:r>
        <w:t>Days 61–90 — SCALE</w:t>
      </w:r>
    </w:p>
    <w:p>
      <w:r>
        <w:t>Target: 100 cumulative customers.</w:t>
      </w:r>
    </w:p>
    <w:p>
      <w:pPr>
        <w:pStyle w:val="ListBullet"/>
      </w:pPr>
      <w:r>
        <w:t>Increase referral activity</w:t>
      </w:r>
    </w:p>
    <w:p>
      <w:pPr>
        <w:pStyle w:val="ListBullet"/>
      </w:pPr>
      <w:r>
        <w:t>Expand partnerships</w:t>
      </w:r>
    </w:p>
    <w:p>
      <w:pPr>
        <w:pStyle w:val="ListBullet"/>
      </w:pPr>
      <w:r>
        <w:t>Scale winning content</w:t>
      </w:r>
    </w:p>
    <w:p>
      <w:pPr>
        <w:pStyle w:val="ListBullet"/>
      </w:pPr>
      <w:r>
        <w:t>Introduce controlled paid acquisition</w:t>
      </w:r>
    </w:p>
    <w:p>
      <w:pPr>
        <w:pStyle w:val="ListBullet"/>
      </w:pPr>
      <w:r>
        <w:t>Push recurring monitoring</w:t>
      </w:r>
    </w:p>
    <w:p>
      <w:pPr>
        <w:pStyle w:val="ListBullet"/>
      </w:pPr>
      <w:r>
        <w:t>Standardize high-performing workflows.</w:t>
      </w:r>
    </w:p>
    <w:p>
      <w:r>
        <w:t>Primary question: Can acquisition and delivery become systematic?</w:t>
      </w:r>
    </w:p>
    <w:p>
      <w:pPr>
        <w:pStyle w:val="Heading1"/>
      </w:pPr>
      <w:r>
        <w:t>15. Customer Data to Capture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Data Points</w:t>
            </w:r>
          </w:p>
        </w:tc>
      </w:tr>
      <w:tr>
        <w:tc>
          <w:tcPr>
            <w:tcW w:type="dxa" w:w="5112"/>
          </w:tcPr>
          <w:p>
            <w:r>
              <w:t>Acquisition</w:t>
            </w:r>
          </w:p>
        </w:tc>
        <w:tc>
          <w:tcPr>
            <w:tcW w:type="dxa" w:w="5112"/>
          </w:tcPr>
          <w:p>
            <w:r>
              <w:t>Source, country, city, referral, campaign, partner</w:t>
            </w:r>
          </w:p>
        </w:tc>
      </w:tr>
      <w:tr>
        <w:tc>
          <w:tcPr>
            <w:tcW w:type="dxa" w:w="5112"/>
          </w:tcPr>
          <w:p>
            <w:r>
              <w:t>Customer</w:t>
            </w:r>
          </w:p>
        </w:tc>
        <w:tc>
          <w:tcPr>
            <w:tcW w:type="dxa" w:w="5112"/>
          </w:tcPr>
          <w:p>
            <w:r>
              <w:t>Segment, age band, service, Nigeria location, asset/project value band</w:t>
            </w:r>
          </w:p>
        </w:tc>
      </w:tr>
      <w:tr>
        <w:tc>
          <w:tcPr>
            <w:tcW w:type="dxa" w:w="5112"/>
          </w:tcPr>
          <w:p>
            <w:r>
              <w:t>Commercial</w:t>
            </w:r>
          </w:p>
        </w:tc>
        <w:tc>
          <w:tcPr>
            <w:tcW w:type="dxa" w:w="5112"/>
          </w:tcPr>
          <w:p>
            <w:r>
              <w:t>Quote, amount paid, direct cost, contribution, CAC</w:t>
            </w:r>
          </w:p>
        </w:tc>
      </w:tr>
      <w:tr>
        <w:tc>
          <w:tcPr>
            <w:tcW w:type="dxa" w:w="5112"/>
          </w:tcPr>
          <w:p>
            <w:r>
              <w:t>Service</w:t>
            </w:r>
          </w:p>
        </w:tc>
        <w:tc>
          <w:tcPr>
            <w:tcW w:type="dxa" w:w="5112"/>
          </w:tcPr>
          <w:p>
            <w:r>
              <w:t>Completion time, evidence quality, QC outcome, rework, complaint</w:t>
            </w:r>
          </w:p>
        </w:tc>
      </w:tr>
      <w:tr>
        <w:tc>
          <w:tcPr>
            <w:tcW w:type="dxa" w:w="5112"/>
          </w:tcPr>
          <w:p>
            <w:r>
              <w:t>Relationship</w:t>
            </w:r>
          </w:p>
        </w:tc>
        <w:tc>
          <w:tcPr>
            <w:tcW w:type="dxa" w:w="5112"/>
          </w:tcPr>
          <w:p>
            <w:r>
              <w:t>Repeat purchase, recurring plan, referral, satisfaction/NPS</w:t>
            </w:r>
          </w:p>
        </w:tc>
      </w:tr>
    </w:tbl>
    <w:p>
      <w:pPr>
        <w:pStyle w:val="Heading1"/>
      </w:pPr>
      <w:r>
        <w:t>16. North-Star Validation Metric</w:t>
      </w:r>
    </w:p>
    <w:p>
      <w:r>
        <w:t>Do not optimize only for 100 transactions. Optimize for 100 Trust Events.</w:t>
      </w:r>
    </w:p>
    <w:p>
      <w:r>
        <w:t>A Trust Event is a completed ASOJU assignment where the customer can credibly conclude: “They did what they said they would do.”</w:t>
      </w:r>
    </w:p>
    <w:p>
      <w:r>
        <w:t>Trust Event → Repeat → Recurring → Referral → Representation</w:t>
      </w:r>
    </w:p>
    <w:p>
      <w:pPr>
        <w:pStyle w:val="Heading1"/>
      </w:pPr>
      <w:r>
        <w:t>17. GTM Message Experiments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Message</w:t>
            </w:r>
          </w:p>
        </w:tc>
        <w:tc>
          <w:tcPr>
            <w:tcW w:type="dxa" w:w="3408"/>
          </w:tcPr>
          <w:p>
            <w:r>
              <w:t>Primary Trigger</w:t>
            </w:r>
          </w:p>
        </w:tc>
        <w:tc>
          <w:tcPr>
            <w:tcW w:type="dxa" w:w="3408"/>
          </w:tcPr>
          <w:p>
            <w:r>
              <w:t>What to Measure</w:t>
            </w:r>
          </w:p>
        </w:tc>
      </w:tr>
      <w:tr>
        <w:tc>
          <w:tcPr>
            <w:tcW w:type="dxa" w:w="3408"/>
          </w:tcPr>
          <w:p>
            <w:r>
              <w:t>Your Trusted Rep Back Home.</w:t>
            </w:r>
          </w:p>
        </w:tc>
        <w:tc>
          <w:tcPr>
            <w:tcW w:type="dxa" w:w="3408"/>
          </w:tcPr>
          <w:p>
            <w:r>
              <w:t>Trust / representation</w:t>
            </w:r>
          </w:p>
        </w:tc>
        <w:tc>
          <w:tcPr>
            <w:tcW w:type="dxa" w:w="3408"/>
          </w:tcPr>
          <w:p>
            <w:r>
              <w:t>CTR, qualified leads, payment conversion</w:t>
            </w:r>
          </w:p>
        </w:tc>
      </w:tr>
      <w:tr>
        <w:tc>
          <w:tcPr>
            <w:tcW w:type="dxa" w:w="3408"/>
          </w:tcPr>
          <w:p>
            <w:r>
              <w:t>From Distance to Done.</w:t>
            </w:r>
          </w:p>
        </w:tc>
        <w:tc>
          <w:tcPr>
            <w:tcW w:type="dxa" w:w="3408"/>
          </w:tcPr>
          <w:p>
            <w:r>
              <w:t>Execution / convenience</w:t>
            </w:r>
          </w:p>
        </w:tc>
        <w:tc>
          <w:tcPr>
            <w:tcW w:type="dxa" w:w="3408"/>
          </w:tcPr>
          <w:p>
            <w:r>
              <w:t>CTR, quote requests, conversion</w:t>
            </w:r>
          </w:p>
        </w:tc>
      </w:tr>
      <w:tr>
        <w:tc>
          <w:tcPr>
            <w:tcW w:type="dxa" w:w="3408"/>
          </w:tcPr>
          <w:p>
            <w:r>
              <w:t>Know What's Happening Before You Send More Money.</w:t>
            </w:r>
          </w:p>
        </w:tc>
        <w:tc>
          <w:tcPr>
            <w:tcW w:type="dxa" w:w="3408"/>
          </w:tcPr>
          <w:p>
            <w:r>
              <w:t>Risk reduction</w:t>
            </w:r>
          </w:p>
        </w:tc>
        <w:tc>
          <w:tcPr>
            <w:tcW w:type="dxa" w:w="3408"/>
          </w:tcPr>
          <w:p>
            <w:r>
              <w:t>Qualified leads, payment conversion</w:t>
            </w:r>
          </w:p>
        </w:tc>
      </w:tr>
    </w:tbl>
    <w:p>
      <w:r>
        <w:t>Run the same core offer against different messages and compare qualified-lead and paid conversion, not vanity metrics alone.</w:t>
      </w:r>
    </w:p>
    <w:p>
      <w:pPr>
        <w:pStyle w:val="Heading1"/>
      </w:pPr>
      <w:r>
        <w:t>18. First-100 Success Criteria</w:t>
      </w:r>
    </w:p>
    <w:p>
      <w:pPr>
        <w:pStyle w:val="ListBullet"/>
      </w:pPr>
      <w:r>
        <w:t>Who buys?</w:t>
      </w:r>
    </w:p>
    <w:p>
      <w:pPr>
        <w:pStyle w:val="ListBullet"/>
      </w:pPr>
      <w:r>
        <w:t>Why do they buy?</w:t>
      </w:r>
    </w:p>
    <w:p>
      <w:pPr>
        <w:pStyle w:val="ListBullet"/>
      </w:pPr>
      <w:r>
        <w:t>What do they buy first?</w:t>
      </w:r>
    </w:p>
    <w:p>
      <w:pPr>
        <w:pStyle w:val="ListBullet"/>
      </w:pPr>
      <w:r>
        <w:t>How much will they pay?</w:t>
      </w:r>
    </w:p>
    <w:p>
      <w:pPr>
        <w:pStyle w:val="ListBullet"/>
      </w:pPr>
      <w:r>
        <w:t>Where do they come from?</w:t>
      </w:r>
    </w:p>
    <w:p>
      <w:pPr>
        <w:pStyle w:val="ListBullet"/>
      </w:pPr>
      <w:r>
        <w:t>Why do they trust ASOJU?</w:t>
      </w:r>
    </w:p>
    <w:p>
      <w:pPr>
        <w:pStyle w:val="ListBullet"/>
      </w:pPr>
      <w:r>
        <w:t>What makes them return?</w:t>
      </w:r>
    </w:p>
    <w:p>
      <w:pPr>
        <w:pStyle w:val="ListBullet"/>
      </w:pPr>
      <w:r>
        <w:t>What makes them refer?</w:t>
      </w:r>
    </w:p>
    <w:p>
      <w:pPr>
        <w:pStyle w:val="ListBullet"/>
      </w:pPr>
      <w:r>
        <w:t>What does delivery actually cost?</w:t>
      </w:r>
    </w:p>
    <w:p>
      <w:pPr>
        <w:pStyle w:val="ListBullet"/>
      </w:pPr>
      <w:r>
        <w:t>Which services are profitable?</w:t>
      </w:r>
    </w:p>
    <w:p>
      <w:pPr>
        <w:pStyle w:val="ListBullet"/>
      </w:pPr>
      <w:r>
        <w:t>Which services should be stopped or redesigned?</w:t>
      </w:r>
    </w:p>
    <w:p>
      <w:pPr>
        <w:pStyle w:val="Heading1"/>
      </w:pPr>
      <w:r>
        <w:t>19. GTM Operating Principles</w:t>
      </w:r>
    </w:p>
    <w:p>
      <w:pPr>
        <w:pStyle w:val="ListBullet"/>
      </w:pPr>
      <w:r>
        <w:t>Start narrow; expand from evidence.</w:t>
      </w:r>
    </w:p>
    <w:p>
      <w:pPr>
        <w:pStyle w:val="ListBullet"/>
      </w:pPr>
      <w:r>
        <w:t>Lead with trust and specific customer problems.</w:t>
      </w:r>
    </w:p>
    <w:p>
      <w:pPr>
        <w:pStyle w:val="ListBullet"/>
      </w:pPr>
      <w:r>
        <w:t>Use Concierge as the front door, not as an excuse for unlimited bespoke work.</w:t>
      </w:r>
    </w:p>
    <w:p>
      <w:pPr>
        <w:pStyle w:val="ListBullet"/>
      </w:pPr>
      <w:r>
        <w:t>Protect service quality during acquisition growth.</w:t>
      </w:r>
    </w:p>
    <w:p>
      <w:pPr>
        <w:pStyle w:val="ListBullet"/>
      </w:pPr>
      <w:r>
        <w:t>Do not compete primarily on lowest price.</w:t>
      </w:r>
    </w:p>
    <w:p>
      <w:pPr>
        <w:pStyle w:val="ListBullet"/>
      </w:pPr>
      <w:r>
        <w:t>Use first-party customer data to refine the ICP continuously.</w:t>
      </w:r>
    </w:p>
    <w:p>
      <w:pPr>
        <w:pStyle w:val="ListBullet"/>
      </w:pPr>
      <w:r>
        <w:t>Scale only the channels that produce qualified, profitable customers.</w:t>
      </w:r>
    </w:p>
    <w:p>
      <w:pPr>
        <w:pStyle w:val="Heading1"/>
      </w:pPr>
      <w:r>
        <w:t>20. Strategic GTM Conclusion</w:t>
      </w:r>
    </w:p>
    <w:p>
      <w:r>
        <w:t>The ASOJU acquisition journey is designed around one transformation:</w:t>
      </w:r>
    </w:p>
    <w:p>
      <w:r>
        <w:t>WORRY → VERIFY → TRUST → MONITOR → REPRESENT</w:t>
      </w:r>
    </w:p>
    <w:p>
      <w:r>
        <w:t>The commercial objective is to turn a first transaction into a trusted, recurring relationship.</w:t>
      </w:r>
    </w:p>
    <w:p>
      <w:r>
        <w:t>ASOJU — Your Trusted Rep Back Home.</w:t>
      </w:r>
    </w:p>
    <w:p>
      <w:pPr>
        <w:pStyle w:val="Heading1"/>
      </w:pPr>
      <w:r>
        <w:t>21. Immediate Execution Checklist</w:t>
      </w:r>
    </w:p>
    <w:p>
      <w:pPr>
        <w:pStyle w:val="ListBullet"/>
      </w:pPr>
      <w:r>
        <w:t>Finalize the Property Verification offer and deliverables.</w:t>
      </w:r>
    </w:p>
    <w:p>
      <w:pPr>
        <w:pStyle w:val="ListBullet"/>
      </w:pPr>
      <w:r>
        <w:t>Create the first landing page / request form.</w:t>
      </w:r>
    </w:p>
    <w:p>
      <w:pPr>
        <w:pStyle w:val="ListBullet"/>
      </w:pPr>
      <w:r>
        <w:t>Create WhatsApp Concierge qualification flow.</w:t>
      </w:r>
    </w:p>
    <w:p>
      <w:pPr>
        <w:pStyle w:val="ListBullet"/>
      </w:pPr>
      <w:r>
        <w:t>Prepare first quotation template.</w:t>
      </w:r>
    </w:p>
    <w:p>
      <w:pPr>
        <w:pStyle w:val="ListBullet"/>
      </w:pPr>
      <w:r>
        <w:t>Create first customer case/inspection workflow.</w:t>
      </w:r>
    </w:p>
    <w:p>
      <w:pPr>
        <w:pStyle w:val="ListBullet"/>
      </w:pPr>
      <w:r>
        <w:t>Recruit and train initial field representatives.</w:t>
      </w:r>
    </w:p>
    <w:p>
      <w:pPr>
        <w:pStyle w:val="ListBullet"/>
      </w:pPr>
      <w:r>
        <w:t>Build referral mechanism.</w:t>
      </w:r>
    </w:p>
    <w:p>
      <w:pPr>
        <w:pStyle w:val="ListBullet"/>
      </w:pPr>
      <w:r>
        <w:t>Identify first 20 diaspora community/partner opportunities.</w:t>
      </w:r>
    </w:p>
    <w:p>
      <w:pPr>
        <w:pStyle w:val="ListBullet"/>
      </w:pPr>
      <w:r>
        <w:t>Launch 3 message experiments.</w:t>
      </w:r>
    </w:p>
    <w:p>
      <w:pPr>
        <w:pStyle w:val="ListBullet"/>
      </w:pPr>
      <w:r>
        <w:t>Track every lead and case in the P0 execution tracker.</w:t>
      </w:r>
    </w:p>
    <w:p>
      <w:pPr>
        <w:pStyle w:val="ListBullet"/>
      </w:pPr>
      <w:r>
        <w:t>Review results weekly and reallocate acquisition effort toward the best-performing segment/channel.</w:t>
      </w:r>
    </w:p>
    <w:p>
      <w:r>
        <w:t>Document status: GTM v1.0 — working execution plan. Targets are hypotheses for pilot management and should be updated from actual ASOJU data.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