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ASOJU 12-MONTH STRATEGIC</w:t>
        <w:br/>
        <w:t>EXECUTION ROADMAP &amp; OKR PLAN</w:t>
      </w:r>
    </w:p>
    <w:p>
      <w:pPr>
        <w:jc w:val="center"/>
      </w:pPr>
      <w:r>
        <w:rPr>
          <w:b/>
        </w:rPr>
        <w:t>Version 1.0 | From Strategy to Repeatable Execution</w:t>
      </w:r>
    </w:p>
    <w:p>
      <w:r>
        <w:rPr>
          <w:b w:val="0"/>
        </w:rPr>
        <w:t>Brand: ASOJU</w:t>
      </w:r>
    </w:p>
    <w:p>
      <w:r>
        <w:rPr>
          <w:b w:val="0"/>
        </w:rPr>
        <w:t>Primary tagline: Your Trusted Rep Back Home.</w:t>
      </w:r>
    </w:p>
    <w:p>
      <w:r>
        <w:rPr>
          <w:b w:val="0"/>
        </w:rPr>
        <w:t>Campaign territory: Be There, Even When You Can't Be There.</w:t>
      </w:r>
    </w:p>
    <w:p>
      <w:r>
        <w:rPr>
          <w:b w:val="0"/>
        </w:rPr>
        <w:t>Purpose: translate the ASOJU strategy, GTM, customer experience, operations, financial and management systems into a sequenced 12-month execution plan.</w:t>
      </w:r>
    </w:p>
    <w:p>
      <w:pPr>
        <w:pStyle w:val="Heading1"/>
      </w:pPr>
      <w:r>
        <w:t>1. Strategic Execution North Star</w:t>
      </w:r>
    </w:p>
    <w:p>
      <w:r>
        <w:rPr>
          <w:b/>
        </w:rPr>
        <w:t>The year is organized around one transformation:</w:t>
      </w:r>
    </w:p>
    <w:p>
      <w:r>
        <w:rPr>
          <w:b w:val="0"/>
        </w:rPr>
        <w:t>FROM → a promising service concept with fragmented operating components</w:t>
      </w:r>
    </w:p>
    <w:p>
      <w:r>
        <w:rPr>
          <w:b/>
        </w:rPr>
        <w:t>TO → a trusted, measurable, repeatable local-representation platform for diaspora customers and their families/affairs in Nigeria.</w:t>
      </w:r>
    </w:p>
    <w:p>
      <w:r>
        <w:rPr>
          <w:b w:val="0"/>
        </w:rPr>
        <w:t>Execution principle: build the operating foundation before aggressively scaling demand.</w:t>
      </w:r>
    </w:p>
    <w:p>
      <w:pPr>
        <w:pStyle w:val="Heading1"/>
      </w:pPr>
      <w:r>
        <w:t>2. Annual Strategic Priorities</w:t>
      </w:r>
    </w:p>
    <w:tbl>
      <w:tblPr>
        <w:tblStyle w:val="TableGrid"/>
        <w:tblW w:type="auto" w:w="0"/>
        <w:jc w:val="center"/>
        <w:tblLook w:firstColumn="1" w:firstRow="1" w:lastColumn="0" w:lastRow="0" w:noHBand="0" w:noVBand="1" w:val="04A0"/>
      </w:tblPr>
      <w:tblGrid>
        <w:gridCol w:w="5112"/>
        <w:gridCol w:w="5112"/>
      </w:tblGrid>
      <w:tr>
        <w:tc>
          <w:tcPr>
            <w:tcW w:type="dxa" w:w="5112"/>
          </w:tcPr>
          <w:p>
            <w:r>
              <w:t>Priority</w:t>
            </w:r>
          </w:p>
        </w:tc>
        <w:tc>
          <w:tcPr>
            <w:tcW w:type="dxa" w:w="5112"/>
          </w:tcPr>
          <w:p>
            <w:r>
              <w:t>Year-End Outcome</w:t>
            </w:r>
          </w:p>
        </w:tc>
      </w:tr>
      <w:tr>
        <w:tc>
          <w:tcPr>
            <w:tcW w:type="dxa" w:w="5112"/>
          </w:tcPr>
          <w:p>
            <w:r>
              <w:t>1. Brand</w:t>
            </w:r>
          </w:p>
        </w:tc>
        <w:tc>
          <w:tcPr>
            <w:tcW w:type="dxa" w:w="5112"/>
          </w:tcPr>
          <w:p>
            <w:r>
              <w:t>ASOJU is clearly associated with trusted local representation in Nigeria.</w:t>
            </w:r>
          </w:p>
        </w:tc>
      </w:tr>
      <w:tr>
        <w:tc>
          <w:tcPr>
            <w:tcW w:type="dxa" w:w="5112"/>
          </w:tcPr>
          <w:p>
            <w:r>
              <w:t>2. Customer acquisition</w:t>
            </w:r>
          </w:p>
        </w:tc>
        <w:tc>
          <w:tcPr>
            <w:tcW w:type="dxa" w:w="5112"/>
          </w:tcPr>
          <w:p>
            <w:r>
              <w:t>A repeatable diaspora acquisition engine is producing qualified demand.</w:t>
            </w:r>
          </w:p>
        </w:tc>
      </w:tr>
      <w:tr>
        <w:tc>
          <w:tcPr>
            <w:tcW w:type="dxa" w:w="5112"/>
          </w:tcPr>
          <w:p>
            <w:r>
              <w:t>3. Conversion</w:t>
            </w:r>
          </w:p>
        </w:tc>
        <w:tc>
          <w:tcPr>
            <w:tcW w:type="dxa" w:w="5112"/>
          </w:tcPr>
          <w:p>
            <w:r>
              <w:t>Sales has a standardized qualification, scope, quote and closing process.</w:t>
            </w:r>
          </w:p>
        </w:tc>
      </w:tr>
      <w:tr>
        <w:tc>
          <w:tcPr>
            <w:tcW w:type="dxa" w:w="5112"/>
          </w:tcPr>
          <w:p>
            <w:r>
              <w:t>4. Delivery</w:t>
            </w:r>
          </w:p>
        </w:tc>
        <w:tc>
          <w:tcPr>
            <w:tcW w:type="dxa" w:w="5112"/>
          </w:tcPr>
          <w:p>
            <w:r>
              <w:t>Operations reliably executes defined services with measurable SLA/quality controls.</w:t>
            </w:r>
          </w:p>
        </w:tc>
      </w:tr>
      <w:tr>
        <w:tc>
          <w:tcPr>
            <w:tcW w:type="dxa" w:w="5112"/>
          </w:tcPr>
          <w:p>
            <w:r>
              <w:t>5. Customer value</w:t>
            </w:r>
          </w:p>
        </w:tc>
        <w:tc>
          <w:tcPr>
            <w:tcW w:type="dxa" w:w="5112"/>
          </w:tcPr>
          <w:p>
            <w:r>
              <w:t>Satisfied customers generate repeat usage and referrals.</w:t>
            </w:r>
          </w:p>
        </w:tc>
      </w:tr>
      <w:tr>
        <w:tc>
          <w:tcPr>
            <w:tcW w:type="dxa" w:w="5112"/>
          </w:tcPr>
          <w:p>
            <w:r>
              <w:t>6. Economics</w:t>
            </w:r>
          </w:p>
        </w:tc>
        <w:tc>
          <w:tcPr>
            <w:tcW w:type="dxa" w:w="5112"/>
          </w:tcPr>
          <w:p>
            <w:r>
              <w:t>Pricing, cost-to-serve, contribution and cash are visible and managed.</w:t>
            </w:r>
          </w:p>
        </w:tc>
      </w:tr>
      <w:tr>
        <w:tc>
          <w:tcPr>
            <w:tcW w:type="dxa" w:w="5112"/>
          </w:tcPr>
          <w:p>
            <w:r>
              <w:t>7. Management</w:t>
            </w:r>
          </w:p>
        </w:tc>
        <w:tc>
          <w:tcPr>
            <w:tcW w:type="dxa" w:w="5112"/>
          </w:tcPr>
          <w:p>
            <w:r>
              <w:t>Leadership runs the business through a single KPI and decision system.</w:t>
            </w:r>
          </w:p>
        </w:tc>
      </w:tr>
      <w:tr>
        <w:tc>
          <w:tcPr>
            <w:tcW w:type="dxa" w:w="5112"/>
          </w:tcPr>
          <w:p>
            <w:r>
              <w:t>8. Scale readiness</w:t>
            </w:r>
          </w:p>
        </w:tc>
        <w:tc>
          <w:tcPr>
            <w:tcW w:type="dxa" w:w="5112"/>
          </w:tcPr>
          <w:p>
            <w:r>
              <w:t>Processes, people and technology can support controlled growth.</w:t>
            </w:r>
          </w:p>
        </w:tc>
      </w:tr>
    </w:tbl>
    <w:p>
      <w:pPr>
        <w:pStyle w:val="Heading1"/>
      </w:pPr>
      <w:r>
        <w:t>3. Annual OKR Structure</w:t>
      </w:r>
    </w:p>
    <w:p>
      <w:r>
        <w:rPr>
          <w:b/>
        </w:rPr>
        <w:t>Use Objectives for directional outcomes and Key Results for measurable evidence. Do not create KRs that cannot be reliably measured.</w:t>
      </w:r>
    </w:p>
    <w:tbl>
      <w:tblPr>
        <w:tblStyle w:val="TableGrid"/>
        <w:tblW w:type="auto" w:w="0"/>
        <w:jc w:val="center"/>
        <w:tblLook w:firstColumn="1" w:firstRow="1" w:lastColumn="0" w:lastRow="0" w:noHBand="0" w:noVBand="1" w:val="04A0"/>
      </w:tblPr>
      <w:tblGrid>
        <w:gridCol w:w="5112"/>
        <w:gridCol w:w="5112"/>
      </w:tblGrid>
      <w:tr>
        <w:tc>
          <w:tcPr>
            <w:tcW w:type="dxa" w:w="5112"/>
          </w:tcPr>
          <w:p>
            <w:r>
              <w:t>Objective</w:t>
            </w:r>
          </w:p>
        </w:tc>
        <w:tc>
          <w:tcPr>
            <w:tcW w:type="dxa" w:w="5112"/>
          </w:tcPr>
          <w:p>
            <w:r>
              <w:t>Primary Key Results</w:t>
            </w:r>
          </w:p>
        </w:tc>
      </w:tr>
      <w:tr>
        <w:tc>
          <w:tcPr>
            <w:tcW w:type="dxa" w:w="5112"/>
          </w:tcPr>
          <w:p>
            <w:r>
              <w:t>O1 — Establish trusted category position</w:t>
            </w:r>
          </w:p>
        </w:tc>
        <w:tc>
          <w:tcPr>
            <w:tcW w:type="dxa" w:w="5112"/>
          </w:tcPr>
          <w:p>
            <w:r>
              <w:t>Validated brand/message baseline; consistent core message; proof library; growing qualified branded demand.</w:t>
            </w:r>
          </w:p>
        </w:tc>
      </w:tr>
      <w:tr>
        <w:tc>
          <w:tcPr>
            <w:tcW w:type="dxa" w:w="5112"/>
          </w:tcPr>
          <w:p>
            <w:r>
              <w:t>O2 — Acquire first 100 customers</w:t>
            </w:r>
          </w:p>
        </w:tc>
        <w:tc>
          <w:tcPr>
            <w:tcW w:type="dxa" w:w="5112"/>
          </w:tcPr>
          <w:p>
            <w:r>
              <w:t>100-customer milestone; channel mix measured; qualified-to-paid conversion tracked; CAC baseline established.</w:t>
            </w:r>
          </w:p>
        </w:tc>
      </w:tr>
      <w:tr>
        <w:tc>
          <w:tcPr>
            <w:tcW w:type="dxa" w:w="5112"/>
          </w:tcPr>
          <w:p>
            <w:r>
              <w:t>O3 — Deliver reliably</w:t>
            </w:r>
          </w:p>
        </w:tc>
        <w:tc>
          <w:tcPr>
            <w:tcW w:type="dxa" w:w="5112"/>
          </w:tcPr>
          <w:p>
            <w:r>
              <w:t>SLA baseline; quality baseline; rework/exception tracking; representative scorecards.</w:t>
            </w:r>
          </w:p>
        </w:tc>
      </w:tr>
      <w:tr>
        <w:tc>
          <w:tcPr>
            <w:tcW w:type="dxa" w:w="5112"/>
          </w:tcPr>
          <w:p>
            <w:r>
              <w:t>O4 — Build customer advocacy</w:t>
            </w:r>
          </w:p>
        </w:tc>
        <w:tc>
          <w:tcPr>
            <w:tcW w:type="dxa" w:w="5112"/>
          </w:tcPr>
          <w:p>
            <w:r>
              <w:t>Feedback system active; repeat/referral baseline; customer-story process operational.</w:t>
            </w:r>
          </w:p>
        </w:tc>
      </w:tr>
      <w:tr>
        <w:tc>
          <w:tcPr>
            <w:tcW w:type="dxa" w:w="5112"/>
          </w:tcPr>
          <w:p>
            <w:r>
              <w:t>O5 — Establish sustainable economics</w:t>
            </w:r>
          </w:p>
        </w:tc>
        <w:tc>
          <w:tcPr>
            <w:tcW w:type="dxa" w:w="5112"/>
          </w:tcPr>
          <w:p>
            <w:r>
              <w:t>Realized price, direct cost, gross margin, CAC, contribution and cash dashboard active.</w:t>
            </w:r>
          </w:p>
        </w:tc>
      </w:tr>
      <w:tr>
        <w:tc>
          <w:tcPr>
            <w:tcW w:type="dxa" w:w="5112"/>
          </w:tcPr>
          <w:p>
            <w:r>
              <w:t>O6 — Build management discipline</w:t>
            </w:r>
          </w:p>
        </w:tc>
        <w:tc>
          <w:tcPr>
            <w:tcW w:type="dxa" w:w="5112"/>
          </w:tcPr>
          <w:p>
            <w:r>
              <w:t>Weekly scorecard, monthly review, action register and decision log consistently used.</w:t>
            </w:r>
          </w:p>
        </w:tc>
      </w:tr>
    </w:tbl>
    <w:p>
      <w:pPr>
        <w:pStyle w:val="Heading1"/>
      </w:pPr>
      <w:r>
        <w:t>4. Execution Phases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Phase</w:t>
            </w:r>
          </w:p>
        </w:tc>
        <w:tc>
          <w:tcPr>
            <w:tcW w:type="dxa" w:w="3408"/>
          </w:tcPr>
          <w:p>
            <w:r>
              <w:t>Months</w:t>
            </w:r>
          </w:p>
        </w:tc>
        <w:tc>
          <w:tcPr>
            <w:tcW w:type="dxa" w:w="3408"/>
          </w:tcPr>
          <w:p>
            <w:r>
              <w:t>Primary Goal</w:t>
            </w:r>
          </w:p>
        </w:tc>
      </w:tr>
      <w:tr>
        <w:tc>
          <w:tcPr>
            <w:tcW w:type="dxa" w:w="3408"/>
          </w:tcPr>
          <w:p>
            <w:r>
              <w:t>Phase 1 — Foundation</w:t>
            </w:r>
          </w:p>
        </w:tc>
        <w:tc>
          <w:tcPr>
            <w:tcW w:type="dxa" w:w="3408"/>
          </w:tcPr>
          <w:p>
            <w:r>
              <w:t>1–3</w:t>
            </w:r>
          </w:p>
        </w:tc>
        <w:tc>
          <w:tcPr>
            <w:tcW w:type="dxa" w:w="3408"/>
          </w:tcPr>
          <w:p>
            <w:r>
              <w:t>Instrument, validate, standardize.</w:t>
            </w:r>
          </w:p>
        </w:tc>
      </w:tr>
      <w:tr>
        <w:tc>
          <w:tcPr>
            <w:tcW w:type="dxa" w:w="3408"/>
          </w:tcPr>
          <w:p>
            <w:r>
              <w:t>Phase 2 — Prove</w:t>
            </w:r>
          </w:p>
        </w:tc>
        <w:tc>
          <w:tcPr>
            <w:tcW w:type="dxa" w:w="3408"/>
          </w:tcPr>
          <w:p>
            <w:r>
              <w:t>4–6</w:t>
            </w:r>
          </w:p>
        </w:tc>
        <w:tc>
          <w:tcPr>
            <w:tcW w:type="dxa" w:w="3408"/>
          </w:tcPr>
          <w:p>
            <w:r>
              <w:t>Acquire customers, learn, improve delivery.</w:t>
            </w:r>
          </w:p>
        </w:tc>
      </w:tr>
      <w:tr>
        <w:tc>
          <w:tcPr>
            <w:tcW w:type="dxa" w:w="3408"/>
          </w:tcPr>
          <w:p>
            <w:r>
              <w:t>Phase 3 — Repeat</w:t>
            </w:r>
          </w:p>
        </w:tc>
        <w:tc>
          <w:tcPr>
            <w:tcW w:type="dxa" w:w="3408"/>
          </w:tcPr>
          <w:p>
            <w:r>
              <w:t>7–9</w:t>
            </w:r>
          </w:p>
        </w:tc>
        <w:tc>
          <w:tcPr>
            <w:tcW w:type="dxa" w:w="3408"/>
          </w:tcPr>
          <w:p>
            <w:r>
              <w:t>Strengthen conversion, retention, referral and economics.</w:t>
            </w:r>
          </w:p>
        </w:tc>
      </w:tr>
      <w:tr>
        <w:tc>
          <w:tcPr>
            <w:tcW w:type="dxa" w:w="3408"/>
          </w:tcPr>
          <w:p>
            <w:r>
              <w:t>Phase 4 — Scale</w:t>
            </w:r>
          </w:p>
        </w:tc>
        <w:tc>
          <w:tcPr>
            <w:tcW w:type="dxa" w:w="3408"/>
          </w:tcPr>
          <w:p>
            <w:r>
              <w:t>10–12</w:t>
            </w:r>
          </w:p>
        </w:tc>
        <w:tc>
          <w:tcPr>
            <w:tcW w:type="dxa" w:w="3408"/>
          </w:tcPr>
          <w:p>
            <w:r>
              <w:t>Expand only the proven model and prepare the next-year plan.</w:t>
            </w:r>
          </w:p>
        </w:tc>
      </w:tr>
    </w:tbl>
    <w:p>
      <w:pPr>
        <w:pStyle w:val="Heading1"/>
      </w:pPr>
      <w:r>
        <w:t>5. Month-by-Month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Month</w:t>
            </w:r>
          </w:p>
        </w:tc>
        <w:tc>
          <w:tcPr>
            <w:tcW w:type="dxa" w:w="3408"/>
          </w:tcPr>
          <w:p>
            <w:r>
              <w:t>Theme</w:t>
            </w:r>
          </w:p>
        </w:tc>
        <w:tc>
          <w:tcPr>
            <w:tcW w:type="dxa" w:w="3408"/>
          </w:tcPr>
          <w:p>
            <w:r>
              <w:t>Major Deliverables</w:t>
            </w:r>
          </w:p>
        </w:tc>
      </w:tr>
      <w:tr>
        <w:tc>
          <w:tcPr>
            <w:tcW w:type="dxa" w:w="3408"/>
          </w:tcPr>
          <w:p>
            <w:r>
              <w:t>M1</w:t>
            </w:r>
          </w:p>
        </w:tc>
        <w:tc>
          <w:tcPr>
            <w:tcW w:type="dxa" w:w="3408"/>
          </w:tcPr>
          <w:p>
            <w:r>
              <w:t>Foundation &amp; alignment</w:t>
            </w:r>
          </w:p>
        </w:tc>
        <w:tc>
          <w:tcPr>
            <w:tcW w:type="dxa" w:w="3408"/>
          </w:tcPr>
          <w:p>
            <w:r>
              <w:t>Finalize ICP, positioning, core message, operating ownership, KPI definitions, baseline dashboard.</w:t>
            </w:r>
          </w:p>
        </w:tc>
      </w:tr>
      <w:tr>
        <w:tc>
          <w:tcPr>
            <w:tcW w:type="dxa" w:w="3408"/>
          </w:tcPr>
          <w:p>
            <w:r>
              <w:t>M2</w:t>
            </w:r>
          </w:p>
        </w:tc>
        <w:tc>
          <w:tcPr>
            <w:tcW w:type="dxa" w:w="3408"/>
          </w:tcPr>
          <w:p>
            <w:r>
              <w:t>Customer &amp; service readiness</w:t>
            </w:r>
          </w:p>
        </w:tc>
        <w:tc>
          <w:tcPr>
            <w:tcW w:type="dxa" w:w="3408"/>
          </w:tcPr>
          <w:p>
            <w:r>
              <w:t>Finalize service catalogue, intake, scope, SOP priorities, representative requirements, CRM fields.</w:t>
            </w:r>
          </w:p>
        </w:tc>
      </w:tr>
      <w:tr>
        <w:tc>
          <w:tcPr>
            <w:tcW w:type="dxa" w:w="3408"/>
          </w:tcPr>
          <w:p>
            <w:r>
              <w:t>M3</w:t>
            </w:r>
          </w:p>
        </w:tc>
        <w:tc>
          <w:tcPr>
            <w:tcW w:type="dxa" w:w="3408"/>
          </w:tcPr>
          <w:p>
            <w:r>
              <w:t>Pilot launch</w:t>
            </w:r>
          </w:p>
        </w:tc>
        <w:tc>
          <w:tcPr>
            <w:tcW w:type="dxa" w:w="3408"/>
          </w:tcPr>
          <w:p>
            <w:r>
              <w:t>Run controlled customer acquisition, high-touch delivery, collect customer language and operational evidence.</w:t>
            </w:r>
          </w:p>
        </w:tc>
      </w:tr>
      <w:tr>
        <w:tc>
          <w:tcPr>
            <w:tcW w:type="dxa" w:w="3408"/>
          </w:tcPr>
          <w:p>
            <w:r>
              <w:t>M4</w:t>
            </w:r>
          </w:p>
        </w:tc>
        <w:tc>
          <w:tcPr>
            <w:tcW w:type="dxa" w:w="3408"/>
          </w:tcPr>
          <w:p>
            <w:r>
              <w:t>Conversion improvement</w:t>
            </w:r>
          </w:p>
        </w:tc>
        <w:tc>
          <w:tcPr>
            <w:tcW w:type="dxa" w:w="3408"/>
          </w:tcPr>
          <w:p>
            <w:r>
              <w:t>Standardize discovery, qualification, quoting, follow-up and handoff.</w:t>
            </w:r>
          </w:p>
        </w:tc>
      </w:tr>
      <w:tr>
        <w:tc>
          <w:tcPr>
            <w:tcW w:type="dxa" w:w="3408"/>
          </w:tcPr>
          <w:p>
            <w:r>
              <w:t>M5</w:t>
            </w:r>
          </w:p>
        </w:tc>
        <w:tc>
          <w:tcPr>
            <w:tcW w:type="dxa" w:w="3408"/>
          </w:tcPr>
          <w:p>
            <w:r>
              <w:t>Operations hardening</w:t>
            </w:r>
          </w:p>
        </w:tc>
        <w:tc>
          <w:tcPr>
            <w:tcW w:type="dxa" w:w="3408"/>
          </w:tcPr>
          <w:p>
            <w:r>
              <w:t>Establish SLA/quality baselines, representative scorecards, exception management and capacity view.</w:t>
            </w:r>
          </w:p>
        </w:tc>
      </w:tr>
      <w:tr>
        <w:tc>
          <w:tcPr>
            <w:tcW w:type="dxa" w:w="3408"/>
          </w:tcPr>
          <w:p>
            <w:r>
              <w:t>M6</w:t>
            </w:r>
          </w:p>
        </w:tc>
        <w:tc>
          <w:tcPr>
            <w:tcW w:type="dxa" w:w="3408"/>
          </w:tcPr>
          <w:p>
            <w:r>
              <w:t>First-50 review</w:t>
            </w:r>
          </w:p>
        </w:tc>
        <w:tc>
          <w:tcPr>
            <w:tcW w:type="dxa" w:w="3408"/>
          </w:tcPr>
          <w:p>
            <w:r>
              <w:t>Review acquisition channels, use cases, pricing, margin, customer satisfaction and operational bottlenecks.</w:t>
            </w:r>
          </w:p>
        </w:tc>
      </w:tr>
      <w:tr>
        <w:tc>
          <w:tcPr>
            <w:tcW w:type="dxa" w:w="3408"/>
          </w:tcPr>
          <w:p>
            <w:r>
              <w:t>M7</w:t>
            </w:r>
          </w:p>
        </w:tc>
        <w:tc>
          <w:tcPr>
            <w:tcW w:type="dxa" w:w="3408"/>
          </w:tcPr>
          <w:p>
            <w:r>
              <w:t>Retention engine</w:t>
            </w:r>
          </w:p>
        </w:tc>
        <w:tc>
          <w:tcPr>
            <w:tcW w:type="dxa" w:w="3408"/>
          </w:tcPr>
          <w:p>
            <w:r>
              <w:t>Formalize onboarding, feedback, repeat-use and customer-health workflows.</w:t>
            </w:r>
          </w:p>
        </w:tc>
      </w:tr>
      <w:tr>
        <w:tc>
          <w:tcPr>
            <w:tcW w:type="dxa" w:w="3408"/>
          </w:tcPr>
          <w:p>
            <w:r>
              <w:t>M8</w:t>
            </w:r>
          </w:p>
        </w:tc>
        <w:tc>
          <w:tcPr>
            <w:tcW w:type="dxa" w:w="3408"/>
          </w:tcPr>
          <w:p>
            <w:r>
              <w:t>Referral engine</w:t>
            </w:r>
          </w:p>
        </w:tc>
        <w:tc>
          <w:tcPr>
            <w:tcW w:type="dxa" w:w="3408"/>
          </w:tcPr>
          <w:p>
            <w:r>
              <w:t>Launch/refine referral pathway, partner/community referrals and advocacy proof.</w:t>
            </w:r>
          </w:p>
        </w:tc>
      </w:tr>
      <w:tr>
        <w:tc>
          <w:tcPr>
            <w:tcW w:type="dxa" w:w="3408"/>
          </w:tcPr>
          <w:p>
            <w:r>
              <w:t>M9</w:t>
            </w:r>
          </w:p>
        </w:tc>
        <w:tc>
          <w:tcPr>
            <w:tcW w:type="dxa" w:w="3408"/>
          </w:tcPr>
          <w:p>
            <w:r>
              <w:t>Unit economics optimization</w:t>
            </w:r>
          </w:p>
        </w:tc>
        <w:tc>
          <w:tcPr>
            <w:tcW w:type="dxa" w:w="3408"/>
          </w:tcPr>
          <w:p>
            <w:r>
              <w:t>Refine pricing, cost-to-serve, CAC, contribution and service portfolio decisions.</w:t>
            </w:r>
          </w:p>
        </w:tc>
      </w:tr>
      <w:tr>
        <w:tc>
          <w:tcPr>
            <w:tcW w:type="dxa" w:w="3408"/>
          </w:tcPr>
          <w:p>
            <w:r>
              <w:t>M10</w:t>
            </w:r>
          </w:p>
        </w:tc>
        <w:tc>
          <w:tcPr>
            <w:tcW w:type="dxa" w:w="3408"/>
          </w:tcPr>
          <w:p>
            <w:r>
              <w:t>Controlled scale</w:t>
            </w:r>
          </w:p>
        </w:tc>
        <w:tc>
          <w:tcPr>
            <w:tcW w:type="dxa" w:w="3408"/>
          </w:tcPr>
          <w:p>
            <w:r>
              <w:t>Expand proven channels/geographies/use cases only where capacity and economics support it.</w:t>
            </w:r>
          </w:p>
        </w:tc>
      </w:tr>
      <w:tr>
        <w:tc>
          <w:tcPr>
            <w:tcW w:type="dxa" w:w="3408"/>
          </w:tcPr>
          <w:p>
            <w:r>
              <w:t>M11</w:t>
            </w:r>
          </w:p>
        </w:tc>
        <w:tc>
          <w:tcPr>
            <w:tcW w:type="dxa" w:w="3408"/>
          </w:tcPr>
          <w:p>
            <w:r>
              <w:t>Management maturity</w:t>
            </w:r>
          </w:p>
        </w:tc>
        <w:tc>
          <w:tcPr>
            <w:tcW w:type="dxa" w:w="3408"/>
          </w:tcPr>
          <w:p>
            <w:r>
              <w:t>Improve forecasting, cohort analysis, dashboard automation and leadership operating rhythm.</w:t>
            </w:r>
          </w:p>
        </w:tc>
      </w:tr>
      <w:tr>
        <w:tc>
          <w:tcPr>
            <w:tcW w:type="dxa" w:w="3408"/>
          </w:tcPr>
          <w:p>
            <w:r>
              <w:t>M12</w:t>
            </w:r>
          </w:p>
        </w:tc>
        <w:tc>
          <w:tcPr>
            <w:tcW w:type="dxa" w:w="3408"/>
          </w:tcPr>
          <w:p>
            <w:r>
              <w:t>Year-end strategic review</w:t>
            </w:r>
          </w:p>
        </w:tc>
        <w:tc>
          <w:tcPr>
            <w:tcW w:type="dxa" w:w="3408"/>
          </w:tcPr>
          <w:p>
            <w:r>
              <w:t>Evaluate the model, lock next-year priorities, budget, capacity plan and scale decisions.</w:t>
            </w:r>
          </w:p>
        </w:tc>
      </w:tr>
    </w:tbl>
    <w:p>
      <w:pPr>
        <w:pStyle w:val="Heading1"/>
      </w:pPr>
      <w:r>
        <w:t>6. Month 1 — Foundation &amp; Alignment</w:t>
      </w:r>
    </w:p>
    <w:p>
      <w:r>
        <w:rPr>
          <w:b w:val="0"/>
        </w:rPr>
        <w:t>Objective: create one coherent operating model before adding significant demand.</w:t>
      </w:r>
    </w:p>
    <w:p>
      <w:pPr>
        <w:pStyle w:val="ListBullet"/>
      </w:pPr>
      <w:r>
        <w:t>Confirm strategic narrative and category position.</w:t>
      </w:r>
    </w:p>
    <w:p>
      <w:pPr>
        <w:pStyle w:val="ListBullet"/>
      </w:pPr>
      <w:r>
        <w:t>Lock ICP definitions and priority use cases.</w:t>
      </w:r>
    </w:p>
    <w:p>
      <w:pPr>
        <w:pStyle w:val="ListBullet"/>
      </w:pPr>
      <w:r>
        <w:t>Finalize core message hierarchy.</w:t>
      </w:r>
    </w:p>
    <w:p>
      <w:pPr>
        <w:pStyle w:val="ListBullet"/>
      </w:pPr>
      <w:r>
        <w:t>Confirm owners across Brand, Marketing, Partnerships, Sales, CX, Operations and Finance.</w:t>
      </w:r>
    </w:p>
    <w:p>
      <w:pPr>
        <w:pStyle w:val="ListBullet"/>
      </w:pPr>
      <w:r>
        <w:t>Define KPI dictionary and sources.</w:t>
      </w:r>
    </w:p>
    <w:p>
      <w:pPr>
        <w:pStyle w:val="ListBullet"/>
      </w:pPr>
      <w:r>
        <w:t>Establish initial executive scorecard.</w:t>
      </w:r>
    </w:p>
    <w:p>
      <w:pPr>
        <w:pStyle w:val="ListBullet"/>
      </w:pPr>
      <w:r>
        <w:t>Review existing customer/service assumptions.</w:t>
      </w:r>
    </w:p>
    <w:p>
      <w:pPr>
        <w:pStyle w:val="ListBullet"/>
      </w:pPr>
      <w:r>
        <w:t>Identify the highest-risk unknowns.</w:t>
      </w:r>
    </w:p>
    <w:p>
      <w:r>
        <w:rPr>
          <w:b w:val="0"/>
        </w:rPr>
        <w:t>Month-end gate: leadership can explain the ASOJU promise, ICP, core customer journey, operating model and top KPIs consistently.</w:t>
      </w:r>
    </w:p>
    <w:p>
      <w:pPr>
        <w:pStyle w:val="Heading1"/>
      </w:pPr>
      <w:r>
        <w:t>7. Month 2 — Customer &amp; Service Readiness</w:t>
      </w:r>
    </w:p>
    <w:p>
      <w:pPr>
        <w:pStyle w:val="ListBullet"/>
      </w:pPr>
      <w:r>
        <w:t>Finalize initial service catalogue.</w:t>
      </w:r>
    </w:p>
    <w:p>
      <w:pPr>
        <w:pStyle w:val="ListBullet"/>
      </w:pPr>
      <w:r>
        <w:t>Create serviceability gates.</w:t>
      </w:r>
    </w:p>
    <w:p>
      <w:pPr>
        <w:pStyle w:val="ListBullet"/>
      </w:pPr>
      <w:r>
        <w:t>Define standard request/intake fields.</w:t>
      </w:r>
    </w:p>
    <w:p>
      <w:pPr>
        <w:pStyle w:val="ListBullet"/>
      </w:pPr>
      <w:r>
        <w:t>Create priority SOP templates.</w:t>
      </w:r>
    </w:p>
    <w:p>
      <w:pPr>
        <w:pStyle w:val="ListBullet"/>
      </w:pPr>
      <w:r>
        <w:t>Finalize representative selection/onboarding standards.</w:t>
      </w:r>
    </w:p>
    <w:p>
      <w:pPr>
        <w:pStyle w:val="ListBullet"/>
      </w:pPr>
      <w:r>
        <w:t>Define evidence requirements by priority service.</w:t>
      </w:r>
    </w:p>
    <w:p>
      <w:pPr>
        <w:pStyle w:val="ListBullet"/>
      </w:pPr>
      <w:r>
        <w:t>Connect Sales/CX handoff to Operations.</w:t>
      </w:r>
    </w:p>
    <w:p>
      <w:pPr>
        <w:pStyle w:val="ListBullet"/>
      </w:pPr>
      <w:r>
        <w:t>Establish baseline pricing/cost inputs.</w:t>
      </w:r>
    </w:p>
    <w:p>
      <w:r>
        <w:rPr>
          <w:b w:val="0"/>
        </w:rPr>
        <w:t>Month-end gate: a qualified request can move from intake to operational assignment without ambiguity.</w:t>
      </w:r>
    </w:p>
    <w:p>
      <w:pPr>
        <w:pStyle w:val="Heading1"/>
      </w:pPr>
      <w:r>
        <w:t>8. Month 3 — Controlled Pilot</w:t>
      </w:r>
    </w:p>
    <w:p>
      <w:pPr>
        <w:pStyle w:val="ListBullet"/>
      </w:pPr>
      <w:r>
        <w:t>Launch controlled acquisition rather than broad scale.</w:t>
      </w:r>
    </w:p>
    <w:p>
      <w:pPr>
        <w:pStyle w:val="ListBullet"/>
      </w:pPr>
      <w:r>
        <w:t>Use high-touch customer onboarding.</w:t>
      </w:r>
    </w:p>
    <w:p>
      <w:pPr>
        <w:pStyle w:val="ListBullet"/>
      </w:pPr>
      <w:r>
        <w:t>Document every material objection.</w:t>
      </w:r>
    </w:p>
    <w:p>
      <w:pPr>
        <w:pStyle w:val="ListBullet"/>
      </w:pPr>
      <w:r>
        <w:t>Document operational exceptions.</w:t>
      </w:r>
    </w:p>
    <w:p>
      <w:pPr>
        <w:pStyle w:val="ListBullet"/>
      </w:pPr>
      <w:r>
        <w:t>Capture customer language.</w:t>
      </w:r>
    </w:p>
    <w:p>
      <w:pPr>
        <w:pStyle w:val="ListBullet"/>
      </w:pPr>
      <w:r>
        <w:t>Measure actual delivery cost and time.</w:t>
      </w:r>
    </w:p>
    <w:p>
      <w:pPr>
        <w:pStyle w:val="ListBullet"/>
      </w:pPr>
      <w:r>
        <w:t>Collect first feedback and proof.</w:t>
      </w:r>
    </w:p>
    <w:p>
      <w:pPr>
        <w:pStyle w:val="ListBullet"/>
      </w:pPr>
      <w:r>
        <w:t>Begin first-10-customer review.</w:t>
      </w:r>
    </w:p>
    <w:p>
      <w:r>
        <w:rPr>
          <w:b w:val="0"/>
        </w:rPr>
        <w:t>Month-end gate: ASOJU has evidence of what customers actually value and where delivery breaks.</w:t>
      </w:r>
    </w:p>
    <w:p>
      <w:pPr>
        <w:pStyle w:val="Heading1"/>
      </w:pPr>
      <w:r>
        <w:t>9. Month 4 — Conversion Improvement</w:t>
      </w:r>
    </w:p>
    <w:p>
      <w:pPr>
        <w:pStyle w:val="ListBullet"/>
      </w:pPr>
      <w:r>
        <w:t>Standardize discovery questions.</w:t>
      </w:r>
    </w:p>
    <w:p>
      <w:pPr>
        <w:pStyle w:val="ListBullet"/>
      </w:pPr>
      <w:r>
        <w:t>Standardize qualification.</w:t>
      </w:r>
    </w:p>
    <w:p>
      <w:pPr>
        <w:pStyle w:val="ListBullet"/>
      </w:pPr>
      <w:r>
        <w:t>Standardize scope and quote structure.</w:t>
      </w:r>
    </w:p>
    <w:p>
      <w:pPr>
        <w:pStyle w:val="ListBullet"/>
      </w:pPr>
      <w:r>
        <w:t>Create follow-up discipline.</w:t>
      </w:r>
    </w:p>
    <w:p>
      <w:pPr>
        <w:pStyle w:val="ListBullet"/>
      </w:pPr>
      <w:r>
        <w:t>Measure funnel conversion by stage.</w:t>
      </w:r>
    </w:p>
    <w:p>
      <w:pPr>
        <w:pStyle w:val="ListBullet"/>
      </w:pPr>
      <w:r>
        <w:t>Review lost opportunities.</w:t>
      </w:r>
    </w:p>
    <w:p>
      <w:pPr>
        <w:pStyle w:val="ListBullet"/>
      </w:pPr>
      <w:r>
        <w:t>Improve sales messaging from actual customer language.</w:t>
      </w:r>
    </w:p>
    <w:p>
      <w:r>
        <w:rPr>
          <w:b w:val="0"/>
        </w:rPr>
        <w:t>Month-end gate: Sales can reliably explain why a lead is qualified, what is being sold, and what happens next.</w:t>
      </w:r>
    </w:p>
    <w:p>
      <w:pPr>
        <w:pStyle w:val="Heading1"/>
      </w:pPr>
      <w:r>
        <w:t>10. Month 5 — Operations Hardening</w:t>
      </w:r>
    </w:p>
    <w:p>
      <w:pPr>
        <w:pStyle w:val="ListBullet"/>
      </w:pPr>
      <w:r>
        <w:t>Set initial SLA classes.</w:t>
      </w:r>
    </w:p>
    <w:p>
      <w:pPr>
        <w:pStyle w:val="ListBullet"/>
      </w:pPr>
      <w:r>
        <w:t>Implement QC levels.</w:t>
      </w:r>
    </w:p>
    <w:p>
      <w:pPr>
        <w:pStyle w:val="ListBullet"/>
      </w:pPr>
      <w:r>
        <w:t>Launch representative scorecard.</w:t>
      </w:r>
    </w:p>
    <w:p>
      <w:pPr>
        <w:pStyle w:val="ListBullet"/>
      </w:pPr>
      <w:r>
        <w:t>Measure assignment time, on-time completion and rework.</w:t>
      </w:r>
    </w:p>
    <w:p>
      <w:pPr>
        <w:pStyle w:val="ListBullet"/>
      </w:pPr>
      <w:r>
        <w:t>Formalize escalation severity.</w:t>
      </w:r>
    </w:p>
    <w:p>
      <w:pPr>
        <w:pStyle w:val="ListBullet"/>
      </w:pPr>
      <w:r>
        <w:t>Establish capacity dashboard.</w:t>
      </w:r>
    </w:p>
    <w:p>
      <w:pPr>
        <w:pStyle w:val="ListBullet"/>
      </w:pPr>
      <w:r>
        <w:t>Create intake-throttling rules.</w:t>
      </w:r>
    </w:p>
    <w:p>
      <w:r>
        <w:rPr>
          <w:b w:val="0"/>
        </w:rPr>
        <w:t>Month-end gate: growth decisions can be made with visibility into delivery capacity and quality.</w:t>
      </w:r>
    </w:p>
    <w:p>
      <w:pPr>
        <w:pStyle w:val="Heading1"/>
      </w:pPr>
      <w:r>
        <w:t>11. Month 6 — First-50 Business Review</w:t>
      </w:r>
    </w:p>
    <w:p>
      <w:pPr>
        <w:pStyle w:val="ListBullet"/>
      </w:pPr>
      <w:r>
        <w:t>Review customer acquisition by source.</w:t>
      </w:r>
    </w:p>
    <w:p>
      <w:pPr>
        <w:pStyle w:val="ListBullet"/>
      </w:pPr>
      <w:r>
        <w:t>Review use-case economics.</w:t>
      </w:r>
    </w:p>
    <w:p>
      <w:pPr>
        <w:pStyle w:val="ListBullet"/>
      </w:pPr>
      <w:r>
        <w:t>Review realized pricing.</w:t>
      </w:r>
    </w:p>
    <w:p>
      <w:pPr>
        <w:pStyle w:val="ListBullet"/>
      </w:pPr>
      <w:r>
        <w:t>Review direct cost-to-serve.</w:t>
      </w:r>
    </w:p>
    <w:p>
      <w:pPr>
        <w:pStyle w:val="ListBullet"/>
      </w:pPr>
      <w:r>
        <w:t>Review gross margin/contribution.</w:t>
      </w:r>
    </w:p>
    <w:p>
      <w:pPr>
        <w:pStyle w:val="ListBullet"/>
      </w:pPr>
      <w:r>
        <w:t>Review customer satisfaction and trust.</w:t>
      </w:r>
    </w:p>
    <w:p>
      <w:pPr>
        <w:pStyle w:val="ListBullet"/>
      </w:pPr>
      <w:r>
        <w:t>Review referral/repeat signals.</w:t>
      </w:r>
    </w:p>
    <w:p>
      <w:pPr>
        <w:pStyle w:val="ListBullet"/>
      </w:pPr>
      <w:r>
        <w:t>Decide what to scale, fix, redesign or stop.</w:t>
      </w:r>
    </w:p>
    <w:p>
      <w:r>
        <w:rPr>
          <w:b w:val="0"/>
        </w:rPr>
        <w:t>Month-end gate: leadership has a data-backed view of the most promising customer, channel, service and economic combinations.</w:t>
      </w:r>
    </w:p>
    <w:p>
      <w:pPr>
        <w:pStyle w:val="Heading1"/>
      </w:pPr>
      <w:r>
        <w:t>12. Month 7 — Retention Engine</w:t>
      </w:r>
    </w:p>
    <w:p>
      <w:pPr>
        <w:pStyle w:val="ListBullet"/>
      </w:pPr>
      <w:r>
        <w:t>Standardize onboarding.</w:t>
      </w:r>
    </w:p>
    <w:p>
      <w:pPr>
        <w:pStyle w:val="ListBullet"/>
      </w:pPr>
      <w:r>
        <w:t>Set communication expectations.</w:t>
      </w:r>
    </w:p>
    <w:p>
      <w:pPr>
        <w:pStyle w:val="ListBullet"/>
      </w:pPr>
      <w:r>
        <w:t>Formalize completion and outcome confirmation.</w:t>
      </w:r>
    </w:p>
    <w:p>
      <w:pPr>
        <w:pStyle w:val="ListBullet"/>
      </w:pPr>
      <w:r>
        <w:t>Launch feedback workflow.</w:t>
      </w:r>
    </w:p>
    <w:p>
      <w:pPr>
        <w:pStyle w:val="ListBullet"/>
      </w:pPr>
      <w:r>
        <w:t>Create customer health signals.</w:t>
      </w:r>
    </w:p>
    <w:p>
      <w:pPr>
        <w:pStyle w:val="ListBullet"/>
      </w:pPr>
      <w:r>
        <w:t>Define service recovery.</w:t>
      </w:r>
    </w:p>
    <w:p>
      <w:pPr>
        <w:pStyle w:val="ListBullet"/>
      </w:pPr>
      <w:r>
        <w:t>Make repeat requests easier.</w:t>
      </w:r>
    </w:p>
    <w:p>
      <w:r>
        <w:rPr>
          <w:b w:val="0"/>
        </w:rPr>
        <w:t>Month-end gate: customer experience is managed after the sale, not just during delivery.</w:t>
      </w:r>
    </w:p>
    <w:p>
      <w:pPr>
        <w:pStyle w:val="Heading1"/>
      </w:pPr>
      <w:r>
        <w:t>13. Month 8 — Referral &amp; Advocacy</w:t>
      </w:r>
    </w:p>
    <w:p>
      <w:pPr>
        <w:pStyle w:val="ListBullet"/>
      </w:pPr>
      <w:r>
        <w:t>Formalize referral ask timing.</w:t>
      </w:r>
    </w:p>
    <w:p>
      <w:pPr>
        <w:pStyle w:val="ListBullet"/>
      </w:pPr>
      <w:r>
        <w:t>Create referral pathway.</w:t>
      </w:r>
    </w:p>
    <w:p>
      <w:pPr>
        <w:pStyle w:val="ListBullet"/>
      </w:pPr>
      <w:r>
        <w:t>Track referral source.</w:t>
      </w:r>
    </w:p>
    <w:p>
      <w:pPr>
        <w:pStyle w:val="ListBullet"/>
      </w:pPr>
      <w:r>
        <w:t>Develop customer-story permission process.</w:t>
      </w:r>
    </w:p>
    <w:p>
      <w:pPr>
        <w:pStyle w:val="ListBullet"/>
      </w:pPr>
      <w:r>
        <w:t>Activate community/partner referral opportunities.</w:t>
      </w:r>
    </w:p>
    <w:p>
      <w:pPr>
        <w:pStyle w:val="ListBullet"/>
      </w:pPr>
      <w:r>
        <w:t>Measure referral conversion and quality.</w:t>
      </w:r>
    </w:p>
    <w:p>
      <w:r>
        <w:rPr>
          <w:b w:val="0"/>
        </w:rPr>
        <w:t>Month-end gate: ASOJU can turn a successful customer outcome into new qualified demand without compromising trust.</w:t>
      </w:r>
    </w:p>
    <w:p>
      <w:pPr>
        <w:pStyle w:val="Heading1"/>
      </w:pPr>
      <w:r>
        <w:t>14. Month 9 — Unit Economics Optimization</w:t>
      </w:r>
    </w:p>
    <w:p>
      <w:pPr>
        <w:pStyle w:val="ListBullet"/>
      </w:pPr>
      <w:r>
        <w:t>Review pricing by use case.</w:t>
      </w:r>
    </w:p>
    <w:p>
      <w:pPr>
        <w:pStyle w:val="ListBullet"/>
      </w:pPr>
      <w:r>
        <w:t>Measure contribution per request.</w:t>
      </w:r>
    </w:p>
    <w:p>
      <w:pPr>
        <w:pStyle w:val="ListBullet"/>
      </w:pPr>
      <w:r>
        <w:t>Measure CAC by channel.</w:t>
      </w:r>
    </w:p>
    <w:p>
      <w:pPr>
        <w:pStyle w:val="ListBullet"/>
      </w:pPr>
      <w:r>
        <w:t>Review repeat/referral economics.</w:t>
      </w:r>
    </w:p>
    <w:p>
      <w:pPr>
        <w:pStyle w:val="ListBullet"/>
      </w:pPr>
      <w:r>
        <w:t>Identify margin-dilutive services.</w:t>
      </w:r>
    </w:p>
    <w:p>
      <w:pPr>
        <w:pStyle w:val="ListBullet"/>
      </w:pPr>
      <w:r>
        <w:t>Review capacity economics.</w:t>
      </w:r>
    </w:p>
    <w:p>
      <w:pPr>
        <w:pStyle w:val="ListBullet"/>
      </w:pPr>
      <w:r>
        <w:t>Test approved pricing/packaging experiments.</w:t>
      </w:r>
    </w:p>
    <w:p>
      <w:r>
        <w:rPr>
          <w:b w:val="0"/>
        </w:rPr>
        <w:t>Month-end gate: management knows which combinations of price, service, channel and customer create healthy contribution.</w:t>
      </w:r>
    </w:p>
    <w:p>
      <w:pPr>
        <w:pStyle w:val="Heading1"/>
      </w:pPr>
      <w:r>
        <w:t>15. Month 10 — Controlled Scale</w:t>
      </w:r>
    </w:p>
    <w:p>
      <w:pPr>
        <w:pStyle w:val="ListBullet"/>
      </w:pPr>
      <w:r>
        <w:t>Increase volume only in proven channels.</w:t>
      </w:r>
    </w:p>
    <w:p>
      <w:pPr>
        <w:pStyle w:val="ListBullet"/>
      </w:pPr>
      <w:r>
        <w:t>Expand representative coverage where demand supports it.</w:t>
      </w:r>
    </w:p>
    <w:p>
      <w:pPr>
        <w:pStyle w:val="ListBullet"/>
      </w:pPr>
      <w:r>
        <w:t>Scale priority use cases.</w:t>
      </w:r>
    </w:p>
    <w:p>
      <w:pPr>
        <w:pStyle w:val="ListBullet"/>
      </w:pPr>
      <w:r>
        <w:t>Automate repetitive administrative work where justified.</w:t>
      </w:r>
    </w:p>
    <w:p>
      <w:pPr>
        <w:pStyle w:val="ListBullet"/>
      </w:pPr>
      <w:r>
        <w:t>Protect quality and SLA thresholds.</w:t>
      </w:r>
    </w:p>
    <w:p>
      <w:pPr>
        <w:pStyle w:val="ListBullet"/>
      </w:pPr>
      <w:r>
        <w:t>Monitor CAC and contribution during expansion.</w:t>
      </w:r>
    </w:p>
    <w:p>
      <w:r>
        <w:rPr>
          <w:b w:val="0"/>
        </w:rPr>
        <w:t>Month-end gate: increased demand does not materially degrade customer experience, quality or economics.</w:t>
      </w:r>
    </w:p>
    <w:p>
      <w:pPr>
        <w:pStyle w:val="Heading1"/>
      </w:pPr>
      <w:r>
        <w:t>16. Month 11 — Management Maturity</w:t>
      </w:r>
    </w:p>
    <w:p>
      <w:pPr>
        <w:pStyle w:val="ListBullet"/>
      </w:pPr>
      <w:r>
        <w:t>Improve weekly KPI reporting.</w:t>
      </w:r>
    </w:p>
    <w:p>
      <w:pPr>
        <w:pStyle w:val="ListBullet"/>
      </w:pPr>
      <w:r>
        <w:t>Introduce cohort views.</w:t>
      </w:r>
    </w:p>
    <w:p>
      <w:pPr>
        <w:pStyle w:val="ListBullet"/>
      </w:pPr>
      <w:r>
        <w:t>Improve forecasting.</w:t>
      </w:r>
    </w:p>
    <w:p>
      <w:pPr>
        <w:pStyle w:val="ListBullet"/>
      </w:pPr>
      <w:r>
        <w:t>Formalize monthly business review.</w:t>
      </w:r>
    </w:p>
    <w:p>
      <w:pPr>
        <w:pStyle w:val="ListBullet"/>
      </w:pPr>
      <w:r>
        <w:t>Clean data definitions and ownership.</w:t>
      </w:r>
    </w:p>
    <w:p>
      <w:pPr>
        <w:pStyle w:val="ListBullet"/>
      </w:pPr>
      <w:r>
        <w:t>Review management action closure.</w:t>
      </w:r>
    </w:p>
    <w:p>
      <w:pPr>
        <w:pStyle w:val="ListBullet"/>
      </w:pPr>
      <w:r>
        <w:t>Document recurring decision rules.</w:t>
      </w:r>
    </w:p>
    <w:p>
      <w:r>
        <w:rPr>
          <w:b w:val="0"/>
        </w:rPr>
        <w:t>Month-end gate: leadership can see the business state and act without relying on fragmented manual updates.</w:t>
      </w:r>
    </w:p>
    <w:p>
      <w:pPr>
        <w:pStyle w:val="Heading1"/>
      </w:pPr>
      <w:r>
        <w:t>17. Month 12 — Strategic Review</w:t>
      </w:r>
    </w:p>
    <w:p>
      <w:pPr>
        <w:pStyle w:val="ListNumber"/>
      </w:pPr>
      <w:r>
        <w:t>Review annual OKRs.</w:t>
      </w:r>
    </w:p>
    <w:p>
      <w:pPr>
        <w:pStyle w:val="ListNumber"/>
      </w:pPr>
      <w:r>
        <w:t>Review first-100-customer learning.</w:t>
      </w:r>
    </w:p>
    <w:p>
      <w:pPr>
        <w:pStyle w:val="ListNumber"/>
      </w:pPr>
      <w:r>
        <w:t>Review customer/use-case portfolio.</w:t>
      </w:r>
    </w:p>
    <w:p>
      <w:pPr>
        <w:pStyle w:val="ListNumber"/>
      </w:pPr>
      <w:r>
        <w:t>Review channel economics.</w:t>
      </w:r>
    </w:p>
    <w:p>
      <w:pPr>
        <w:pStyle w:val="ListNumber"/>
      </w:pPr>
      <w:r>
        <w:t>Review retention/referral.</w:t>
      </w:r>
    </w:p>
    <w:p>
      <w:pPr>
        <w:pStyle w:val="ListNumber"/>
      </w:pPr>
      <w:r>
        <w:t>Review operational capacity and quality.</w:t>
      </w:r>
    </w:p>
    <w:p>
      <w:pPr>
        <w:pStyle w:val="ListNumber"/>
      </w:pPr>
      <w:r>
        <w:t>Review margin and cash.</w:t>
      </w:r>
    </w:p>
    <w:p>
      <w:pPr>
        <w:pStyle w:val="ListNumber"/>
      </w:pPr>
      <w:r>
        <w:t>Decide next-year strategic priorities.</w:t>
      </w:r>
    </w:p>
    <w:p>
      <w:pPr>
        <w:pStyle w:val="ListNumber"/>
      </w:pPr>
      <w:r>
        <w:t>Set next-year budget and capacity plan.</w:t>
      </w:r>
    </w:p>
    <w:p>
      <w:pPr>
        <w:pStyle w:val="ListNumber"/>
      </w:pPr>
      <w:r>
        <w:t>Retire initiatives that did not earn continued investment.</w:t>
      </w:r>
    </w:p>
    <w:p>
      <w:pPr>
        <w:pStyle w:val="Heading1"/>
      </w:pPr>
      <w:r>
        <w:t>18. Quarterly Objectives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Quarter</w:t>
            </w:r>
          </w:p>
        </w:tc>
        <w:tc>
          <w:tcPr>
            <w:tcW w:type="dxa" w:w="3408"/>
          </w:tcPr>
          <w:p>
            <w:r>
              <w:t>Objective</w:t>
            </w:r>
          </w:p>
        </w:tc>
        <w:tc>
          <w:tcPr>
            <w:tcW w:type="dxa" w:w="3408"/>
          </w:tcPr>
          <w:p>
            <w:r>
              <w:t>Success Evidence</w:t>
            </w:r>
          </w:p>
        </w:tc>
      </w:tr>
      <w:tr>
        <w:tc>
          <w:tcPr>
            <w:tcW w:type="dxa" w:w="3408"/>
          </w:tcPr>
          <w:p>
            <w:r>
              <w:t>Q1</w:t>
            </w:r>
          </w:p>
        </w:tc>
        <w:tc>
          <w:tcPr>
            <w:tcW w:type="dxa" w:w="3408"/>
          </w:tcPr>
          <w:p>
            <w:r>
              <w:t>Build the foundation</w:t>
            </w:r>
          </w:p>
        </w:tc>
        <w:tc>
          <w:tcPr>
            <w:tcW w:type="dxa" w:w="3408"/>
          </w:tcPr>
          <w:p>
            <w:r>
              <w:t>Clear positioning, ICP, service model, ownership and KPI baseline.</w:t>
            </w:r>
          </w:p>
        </w:tc>
      </w:tr>
      <w:tr>
        <w:tc>
          <w:tcPr>
            <w:tcW w:type="dxa" w:w="3408"/>
          </w:tcPr>
          <w:p>
            <w:r>
              <w:t>Q2</w:t>
            </w:r>
          </w:p>
        </w:tc>
        <w:tc>
          <w:tcPr>
            <w:tcW w:type="dxa" w:w="3408"/>
          </w:tcPr>
          <w:p>
            <w:r>
              <w:t>Prove the model</w:t>
            </w:r>
          </w:p>
        </w:tc>
        <w:tc>
          <w:tcPr>
            <w:tcW w:type="dxa" w:w="3408"/>
          </w:tcPr>
          <w:p>
            <w:r>
              <w:t>Initial customer traction, repeatable sales process and operational controls.</w:t>
            </w:r>
          </w:p>
        </w:tc>
      </w:tr>
      <w:tr>
        <w:tc>
          <w:tcPr>
            <w:tcW w:type="dxa" w:w="3408"/>
          </w:tcPr>
          <w:p>
            <w:r>
              <w:t>Q3</w:t>
            </w:r>
          </w:p>
        </w:tc>
        <w:tc>
          <w:tcPr>
            <w:tcW w:type="dxa" w:w="3408"/>
          </w:tcPr>
          <w:p>
            <w:r>
              <w:t>Build customer value</w:t>
            </w:r>
          </w:p>
        </w:tc>
        <w:tc>
          <w:tcPr>
            <w:tcW w:type="dxa" w:w="3408"/>
          </w:tcPr>
          <w:p>
            <w:r>
              <w:t>Retention/referral system, better economics and stronger proof.</w:t>
            </w:r>
          </w:p>
        </w:tc>
      </w:tr>
      <w:tr>
        <w:tc>
          <w:tcPr>
            <w:tcW w:type="dxa" w:w="3408"/>
          </w:tcPr>
          <w:p>
            <w:r>
              <w:t>Q4</w:t>
            </w:r>
          </w:p>
        </w:tc>
        <w:tc>
          <w:tcPr>
            <w:tcW w:type="dxa" w:w="3408"/>
          </w:tcPr>
          <w:p>
            <w:r>
              <w:t>Scale selectively</w:t>
            </w:r>
          </w:p>
        </w:tc>
        <w:tc>
          <w:tcPr>
            <w:tcW w:type="dxa" w:w="3408"/>
          </w:tcPr>
          <w:p>
            <w:r>
              <w:t>Proven channels/services expanded with quality and financial controls.</w:t>
            </w:r>
          </w:p>
        </w:tc>
      </w:tr>
    </w:tbl>
    <w:p>
      <w:pPr>
        <w:pStyle w:val="Heading1"/>
      </w:pPr>
      <w:r>
        <w:t>19. Quarterly OKR Review</w:t>
      </w:r>
    </w:p>
    <w:tbl>
      <w:tblPr>
        <w:tblStyle w:val="TableGrid"/>
        <w:tblW w:type="auto" w:w="0"/>
        <w:jc w:val="center"/>
        <w:tblLook w:firstColumn="1" w:firstRow="1" w:lastColumn="0" w:lastRow="0" w:noHBand="0" w:noVBand="1" w:val="04A0"/>
      </w:tblPr>
      <w:tblGrid>
        <w:gridCol w:w="5112"/>
        <w:gridCol w:w="5112"/>
      </w:tblGrid>
      <w:tr>
        <w:tc>
          <w:tcPr>
            <w:tcW w:type="dxa" w:w="5112"/>
          </w:tcPr>
          <w:p>
            <w:r>
              <w:t>Quarter</w:t>
            </w:r>
          </w:p>
        </w:tc>
        <w:tc>
          <w:tcPr>
            <w:tcW w:type="dxa" w:w="5112"/>
          </w:tcPr>
          <w:p>
            <w:r>
              <w:t>Review Questions</w:t>
            </w:r>
          </w:p>
        </w:tc>
      </w:tr>
      <w:tr>
        <w:tc>
          <w:tcPr>
            <w:tcW w:type="dxa" w:w="5112"/>
          </w:tcPr>
          <w:p>
            <w:r>
              <w:t>Q1</w:t>
            </w:r>
          </w:p>
        </w:tc>
        <w:tc>
          <w:tcPr>
            <w:tcW w:type="dxa" w:w="5112"/>
          </w:tcPr>
          <w:p>
            <w:r>
              <w:t>What are we learning about customer need, trust and serviceability?</w:t>
            </w:r>
          </w:p>
        </w:tc>
      </w:tr>
      <w:tr>
        <w:tc>
          <w:tcPr>
            <w:tcW w:type="dxa" w:w="5112"/>
          </w:tcPr>
          <w:p>
            <w:r>
              <w:t>Q2</w:t>
            </w:r>
          </w:p>
        </w:tc>
        <w:tc>
          <w:tcPr>
            <w:tcW w:type="dxa" w:w="5112"/>
          </w:tcPr>
          <w:p>
            <w:r>
              <w:t>What converts, what delivers, and what is economically viable?</w:t>
            </w:r>
          </w:p>
        </w:tc>
      </w:tr>
      <w:tr>
        <w:tc>
          <w:tcPr>
            <w:tcW w:type="dxa" w:w="5112"/>
          </w:tcPr>
          <w:p>
            <w:r>
              <w:t>Q3</w:t>
            </w:r>
          </w:p>
        </w:tc>
        <w:tc>
          <w:tcPr>
            <w:tcW w:type="dxa" w:w="5112"/>
          </w:tcPr>
          <w:p>
            <w:r>
              <w:t>What creates repeat/referral behavior and strongest contribution?</w:t>
            </w:r>
          </w:p>
        </w:tc>
      </w:tr>
      <w:tr>
        <w:tc>
          <w:tcPr>
            <w:tcW w:type="dxa" w:w="5112"/>
          </w:tcPr>
          <w:p>
            <w:r>
              <w:t>Q4</w:t>
            </w:r>
          </w:p>
        </w:tc>
        <w:tc>
          <w:tcPr>
            <w:tcW w:type="dxa" w:w="5112"/>
          </w:tcPr>
          <w:p>
            <w:r>
              <w:t>What is genuinely ready to scale?</w:t>
            </w:r>
          </w:p>
        </w:tc>
      </w:tr>
    </w:tbl>
    <w:p>
      <w:pPr>
        <w:pStyle w:val="Heading1"/>
      </w:pPr>
      <w:r>
        <w:t>20. Workstream Ownership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Workstream</w:t>
            </w:r>
          </w:p>
        </w:tc>
        <w:tc>
          <w:tcPr>
            <w:tcW w:type="dxa" w:w="3408"/>
          </w:tcPr>
          <w:p>
            <w:r>
              <w:t>Accountable Function</w:t>
            </w:r>
          </w:p>
        </w:tc>
        <w:tc>
          <w:tcPr>
            <w:tcW w:type="dxa" w:w="3408"/>
          </w:tcPr>
          <w:p>
            <w:r>
              <w:t>Core Deliverables</w:t>
            </w:r>
          </w:p>
        </w:tc>
      </w:tr>
      <w:tr>
        <w:tc>
          <w:tcPr>
            <w:tcW w:type="dxa" w:w="3408"/>
          </w:tcPr>
          <w:p>
            <w:r>
              <w:t>Brand</w:t>
            </w:r>
          </w:p>
        </w:tc>
        <w:tc>
          <w:tcPr>
            <w:tcW w:type="dxa" w:w="3408"/>
          </w:tcPr>
          <w:p>
            <w:r>
              <w:t>Brand/Leadership</w:t>
            </w:r>
          </w:p>
        </w:tc>
        <w:tc>
          <w:tcPr>
            <w:tcW w:type="dxa" w:w="3408"/>
          </w:tcPr>
          <w:p>
            <w:r>
              <w:t>Positioning, messaging, proof.</w:t>
            </w:r>
          </w:p>
        </w:tc>
      </w:tr>
      <w:tr>
        <w:tc>
          <w:tcPr>
            <w:tcW w:type="dxa" w:w="3408"/>
          </w:tcPr>
          <w:p>
            <w:r>
              <w:t>Marketing</w:t>
            </w:r>
          </w:p>
        </w:tc>
        <w:tc>
          <w:tcPr>
            <w:tcW w:type="dxa" w:w="3408"/>
          </w:tcPr>
          <w:p>
            <w:r>
              <w:t>Marketing</w:t>
            </w:r>
          </w:p>
        </w:tc>
        <w:tc>
          <w:tcPr>
            <w:tcW w:type="dxa" w:w="3408"/>
          </w:tcPr>
          <w:p>
            <w:r>
              <w:t>Demand, campaigns, content, CAC.</w:t>
            </w:r>
          </w:p>
        </w:tc>
      </w:tr>
      <w:tr>
        <w:tc>
          <w:tcPr>
            <w:tcW w:type="dxa" w:w="3408"/>
          </w:tcPr>
          <w:p>
            <w:r>
              <w:t>Partnerships</w:t>
            </w:r>
          </w:p>
        </w:tc>
        <w:tc>
          <w:tcPr>
            <w:tcW w:type="dxa" w:w="3408"/>
          </w:tcPr>
          <w:p>
            <w:r>
              <w:t>Partnerships/GTM</w:t>
            </w:r>
          </w:p>
        </w:tc>
        <w:tc>
          <w:tcPr>
            <w:tcW w:type="dxa" w:w="3408"/>
          </w:tcPr>
          <w:p>
            <w:r>
              <w:t>Community and referral channels.</w:t>
            </w:r>
          </w:p>
        </w:tc>
      </w:tr>
      <w:tr>
        <w:tc>
          <w:tcPr>
            <w:tcW w:type="dxa" w:w="3408"/>
          </w:tcPr>
          <w:p>
            <w:r>
              <w:t>Sales</w:t>
            </w:r>
          </w:p>
        </w:tc>
        <w:tc>
          <w:tcPr>
            <w:tcW w:type="dxa" w:w="3408"/>
          </w:tcPr>
          <w:p>
            <w:r>
              <w:t>Sales</w:t>
            </w:r>
          </w:p>
        </w:tc>
        <w:tc>
          <w:tcPr>
            <w:tcW w:type="dxa" w:w="3408"/>
          </w:tcPr>
          <w:p>
            <w:r>
              <w:t>Qualification, conversion, pricing realization.</w:t>
            </w:r>
          </w:p>
        </w:tc>
      </w:tr>
      <w:tr>
        <w:tc>
          <w:tcPr>
            <w:tcW w:type="dxa" w:w="3408"/>
          </w:tcPr>
          <w:p>
            <w:r>
              <w:t>CX</w:t>
            </w:r>
          </w:p>
        </w:tc>
        <w:tc>
          <w:tcPr>
            <w:tcW w:type="dxa" w:w="3408"/>
          </w:tcPr>
          <w:p>
            <w:r>
              <w:t>Customer Experience</w:t>
            </w:r>
          </w:p>
        </w:tc>
        <w:tc>
          <w:tcPr>
            <w:tcW w:type="dxa" w:w="3408"/>
          </w:tcPr>
          <w:p>
            <w:r>
              <w:t>Onboarding, communication, satisfaction.</w:t>
            </w:r>
          </w:p>
        </w:tc>
      </w:tr>
      <w:tr>
        <w:tc>
          <w:tcPr>
            <w:tcW w:type="dxa" w:w="3408"/>
          </w:tcPr>
          <w:p>
            <w:r>
              <w:t>Operations</w:t>
            </w:r>
          </w:p>
        </w:tc>
        <w:tc>
          <w:tcPr>
            <w:tcW w:type="dxa" w:w="3408"/>
          </w:tcPr>
          <w:p>
            <w:r>
              <w:t>Operations</w:t>
            </w:r>
          </w:p>
        </w:tc>
        <w:tc>
          <w:tcPr>
            <w:tcW w:type="dxa" w:w="3408"/>
          </w:tcPr>
          <w:p>
            <w:r>
              <w:t>Assignment, execution, QC, SLA, capacity.</w:t>
            </w:r>
          </w:p>
        </w:tc>
      </w:tr>
      <w:tr>
        <w:tc>
          <w:tcPr>
            <w:tcW w:type="dxa" w:w="3408"/>
          </w:tcPr>
          <w:p>
            <w:r>
              <w:t>Finance</w:t>
            </w:r>
          </w:p>
        </w:tc>
        <w:tc>
          <w:tcPr>
            <w:tcW w:type="dxa" w:w="3408"/>
          </w:tcPr>
          <w:p>
            <w:r>
              <w:t>Finance</w:t>
            </w:r>
          </w:p>
        </w:tc>
        <w:tc>
          <w:tcPr>
            <w:tcW w:type="dxa" w:w="3408"/>
          </w:tcPr>
          <w:p>
            <w:r>
              <w:t>Revenue, cost, margin, cash, unit economics.</w:t>
            </w:r>
          </w:p>
        </w:tc>
      </w:tr>
      <w:tr>
        <w:tc>
          <w:tcPr>
            <w:tcW w:type="dxa" w:w="3408"/>
          </w:tcPr>
          <w:p>
            <w:r>
              <w:t>Management</w:t>
            </w:r>
          </w:p>
        </w:tc>
        <w:tc>
          <w:tcPr>
            <w:tcW w:type="dxa" w:w="3408"/>
          </w:tcPr>
          <w:p>
            <w:r>
              <w:t>Leadership</w:t>
            </w:r>
          </w:p>
        </w:tc>
        <w:tc>
          <w:tcPr>
            <w:tcW w:type="dxa" w:w="3408"/>
          </w:tcPr>
          <w:p>
            <w:r>
              <w:t>KPI system, priorities, decisions, resources.</w:t>
            </w:r>
          </w:p>
        </w:tc>
      </w:tr>
    </w:tbl>
    <w:p>
      <w:pPr>
        <w:pStyle w:val="Heading1"/>
      </w:pPr>
      <w:r>
        <w:t>21. Dependencies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Dependency</w:t>
            </w:r>
          </w:p>
        </w:tc>
        <w:tc>
          <w:tcPr>
            <w:tcW w:type="dxa" w:w="3408"/>
          </w:tcPr>
          <w:p>
            <w:r>
              <w:t>Why It Matters</w:t>
            </w:r>
          </w:p>
        </w:tc>
        <w:tc>
          <w:tcPr>
            <w:tcW w:type="dxa" w:w="3408"/>
          </w:tcPr>
          <w:p>
            <w:r>
              <w:t>Required Before</w:t>
            </w:r>
          </w:p>
        </w:tc>
      </w:tr>
      <w:tr>
        <w:tc>
          <w:tcPr>
            <w:tcW w:type="dxa" w:w="3408"/>
          </w:tcPr>
          <w:p>
            <w:r>
              <w:t>ICP + positioning</w:t>
            </w:r>
          </w:p>
        </w:tc>
        <w:tc>
          <w:tcPr>
            <w:tcW w:type="dxa" w:w="3408"/>
          </w:tcPr>
          <w:p>
            <w:r>
              <w:t>Guides acquisition and sales.</w:t>
            </w:r>
          </w:p>
        </w:tc>
        <w:tc>
          <w:tcPr>
            <w:tcW w:type="dxa" w:w="3408"/>
          </w:tcPr>
          <w:p>
            <w:r>
              <w:t>Scaled marketing.</w:t>
            </w:r>
          </w:p>
        </w:tc>
      </w:tr>
      <w:tr>
        <w:tc>
          <w:tcPr>
            <w:tcW w:type="dxa" w:w="3408"/>
          </w:tcPr>
          <w:p>
            <w:r>
              <w:t>Service catalogue</w:t>
            </w:r>
          </w:p>
        </w:tc>
        <w:tc>
          <w:tcPr>
            <w:tcW w:type="dxa" w:w="3408"/>
          </w:tcPr>
          <w:p>
            <w:r>
              <w:t>Defines what can be sold.</w:t>
            </w:r>
          </w:p>
        </w:tc>
        <w:tc>
          <w:tcPr>
            <w:tcW w:type="dxa" w:w="3408"/>
          </w:tcPr>
          <w:p>
            <w:r>
              <w:t>Broad sales expansion.</w:t>
            </w:r>
          </w:p>
        </w:tc>
      </w:tr>
      <w:tr>
        <w:tc>
          <w:tcPr>
            <w:tcW w:type="dxa" w:w="3408"/>
          </w:tcPr>
          <w:p>
            <w:r>
              <w:t>Operations capacity</w:t>
            </w:r>
          </w:p>
        </w:tc>
        <w:tc>
          <w:tcPr>
            <w:tcW w:type="dxa" w:w="3408"/>
          </w:tcPr>
          <w:p>
            <w:r>
              <w:t>Protects delivery quality.</w:t>
            </w:r>
          </w:p>
        </w:tc>
        <w:tc>
          <w:tcPr>
            <w:tcW w:type="dxa" w:w="3408"/>
          </w:tcPr>
          <w:p>
            <w:r>
              <w:t>Demand scaling.</w:t>
            </w:r>
          </w:p>
        </w:tc>
      </w:tr>
      <w:tr>
        <w:tc>
          <w:tcPr>
            <w:tcW w:type="dxa" w:w="3408"/>
          </w:tcPr>
          <w:p>
            <w:r>
              <w:t>Pricing/cost model</w:t>
            </w:r>
          </w:p>
        </w:tc>
        <w:tc>
          <w:tcPr>
            <w:tcW w:type="dxa" w:w="3408"/>
          </w:tcPr>
          <w:p>
            <w:r>
              <w:t>Protects economics.</w:t>
            </w:r>
          </w:p>
        </w:tc>
        <w:tc>
          <w:tcPr>
            <w:tcW w:type="dxa" w:w="3408"/>
          </w:tcPr>
          <w:p>
            <w:r>
              <w:t>Aggressive acquisition.</w:t>
            </w:r>
          </w:p>
        </w:tc>
      </w:tr>
      <w:tr>
        <w:tc>
          <w:tcPr>
            <w:tcW w:type="dxa" w:w="3408"/>
          </w:tcPr>
          <w:p>
            <w:r>
              <w:t>CRM/KPI definitions</w:t>
            </w:r>
          </w:p>
        </w:tc>
        <w:tc>
          <w:tcPr>
            <w:tcW w:type="dxa" w:w="3408"/>
          </w:tcPr>
          <w:p>
            <w:r>
              <w:t>Makes learning measurable.</w:t>
            </w:r>
          </w:p>
        </w:tc>
        <w:tc>
          <w:tcPr>
            <w:tcW w:type="dxa" w:w="3408"/>
          </w:tcPr>
          <w:p>
            <w:r>
              <w:t>Management optimization.</w:t>
            </w:r>
          </w:p>
        </w:tc>
      </w:tr>
      <w:tr>
        <w:tc>
          <w:tcPr>
            <w:tcW w:type="dxa" w:w="3408"/>
          </w:tcPr>
          <w:p>
            <w:r>
              <w:t>Customer lifecycle</w:t>
            </w:r>
          </w:p>
        </w:tc>
        <w:tc>
          <w:tcPr>
            <w:tcW w:type="dxa" w:w="3408"/>
          </w:tcPr>
          <w:p>
            <w:r>
              <w:t>Enables repeat/referral.</w:t>
            </w:r>
          </w:p>
        </w:tc>
        <w:tc>
          <w:tcPr>
            <w:tcW w:type="dxa" w:w="3408"/>
          </w:tcPr>
          <w:p>
            <w:r>
              <w:t>Advocacy scaling.</w:t>
            </w:r>
          </w:p>
        </w:tc>
      </w:tr>
      <w:tr>
        <w:tc>
          <w:tcPr>
            <w:tcW w:type="dxa" w:w="3408"/>
          </w:tcPr>
          <w:p>
            <w:r>
              <w:t>Representative network</w:t>
            </w:r>
          </w:p>
        </w:tc>
        <w:tc>
          <w:tcPr>
            <w:tcW w:type="dxa" w:w="3408"/>
          </w:tcPr>
          <w:p>
            <w:r>
              <w:t>Enables geographic/service coverage.</w:t>
            </w:r>
          </w:p>
        </w:tc>
        <w:tc>
          <w:tcPr>
            <w:tcW w:type="dxa" w:w="3408"/>
          </w:tcPr>
          <w:p>
            <w:r>
              <w:t>Coverage expansion.</w:t>
            </w:r>
          </w:p>
        </w:tc>
      </w:tr>
    </w:tbl>
    <w:p>
      <w:pPr>
        <w:pStyle w:val="Heading1"/>
      </w:pPr>
      <w:r>
        <w:t>22. Priority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Priority</w:t>
            </w:r>
          </w:p>
        </w:tc>
        <w:tc>
          <w:tcPr>
            <w:tcW w:type="dxa" w:w="3408"/>
          </w:tcPr>
          <w:p>
            <w:r>
              <w:t>Definition</w:t>
            </w:r>
          </w:p>
        </w:tc>
        <w:tc>
          <w:tcPr>
            <w:tcW w:type="dxa" w:w="3408"/>
          </w:tcPr>
          <w:p>
            <w:r>
              <w:t>Rule</w:t>
            </w:r>
          </w:p>
        </w:tc>
      </w:tr>
      <w:tr>
        <w:tc>
          <w:tcPr>
            <w:tcW w:type="dxa" w:w="3408"/>
          </w:tcPr>
          <w:p>
            <w:r>
              <w:t>P0</w:t>
            </w:r>
          </w:p>
        </w:tc>
        <w:tc>
          <w:tcPr>
            <w:tcW w:type="dxa" w:w="3408"/>
          </w:tcPr>
          <w:p>
            <w:r>
              <w:t>Critical to customer trust, delivery or business viability.</w:t>
            </w:r>
          </w:p>
        </w:tc>
        <w:tc>
          <w:tcPr>
            <w:tcW w:type="dxa" w:w="3408"/>
          </w:tcPr>
          <w:p>
            <w:r>
              <w:t>Must be protected before growth work.</w:t>
            </w:r>
          </w:p>
        </w:tc>
      </w:tr>
      <w:tr>
        <w:tc>
          <w:tcPr>
            <w:tcW w:type="dxa" w:w="3408"/>
          </w:tcPr>
          <w:p>
            <w:r>
              <w:t>P1</w:t>
            </w:r>
          </w:p>
        </w:tc>
        <w:tc>
          <w:tcPr>
            <w:tcW w:type="dxa" w:w="3408"/>
          </w:tcPr>
          <w:p>
            <w:r>
              <w:t>High-value strategic work.</w:t>
            </w:r>
          </w:p>
        </w:tc>
        <w:tc>
          <w:tcPr>
            <w:tcW w:type="dxa" w:w="3408"/>
          </w:tcPr>
          <w:p>
            <w:r>
              <w:t>Execute in current quarter.</w:t>
            </w:r>
          </w:p>
        </w:tc>
      </w:tr>
      <w:tr>
        <w:tc>
          <w:tcPr>
            <w:tcW w:type="dxa" w:w="3408"/>
          </w:tcPr>
          <w:p>
            <w:r>
              <w:t>P2</w:t>
            </w:r>
          </w:p>
        </w:tc>
        <w:tc>
          <w:tcPr>
            <w:tcW w:type="dxa" w:w="3408"/>
          </w:tcPr>
          <w:p>
            <w:r>
              <w:t>Useful optimization.</w:t>
            </w:r>
          </w:p>
        </w:tc>
        <w:tc>
          <w:tcPr>
            <w:tcW w:type="dxa" w:w="3408"/>
          </w:tcPr>
          <w:p>
            <w:r>
              <w:t>Execute when P0/P1 capacity exists.</w:t>
            </w:r>
          </w:p>
        </w:tc>
      </w:tr>
      <w:tr>
        <w:tc>
          <w:tcPr>
            <w:tcW w:type="dxa" w:w="3408"/>
          </w:tcPr>
          <w:p>
            <w:r>
              <w:t>P3</w:t>
            </w:r>
          </w:p>
        </w:tc>
        <w:tc>
          <w:tcPr>
            <w:tcW w:type="dxa" w:w="3408"/>
          </w:tcPr>
          <w:p>
            <w:r>
              <w:t>Nice-to-have.</w:t>
            </w:r>
          </w:p>
        </w:tc>
        <w:tc>
          <w:tcPr>
            <w:tcW w:type="dxa" w:w="3408"/>
          </w:tcPr>
          <w:p>
            <w:r>
              <w:t>Defer unless strategically justified.</w:t>
            </w:r>
          </w:p>
        </w:tc>
      </w:tr>
    </w:tbl>
    <w:p>
      <w:pPr>
        <w:pStyle w:val="Heading1"/>
      </w:pPr>
      <w:r>
        <w:t>23. P0 Execution List</w:t>
      </w:r>
    </w:p>
    <w:p>
      <w:pPr>
        <w:pStyle w:val="ListBullet"/>
      </w:pPr>
      <w:r>
        <w:t>Clear customer promise.</w:t>
      </w:r>
    </w:p>
    <w:p>
      <w:pPr>
        <w:pStyle w:val="ListBullet"/>
      </w:pPr>
      <w:r>
        <w:t>Defined ICP.</w:t>
      </w:r>
    </w:p>
    <w:p>
      <w:pPr>
        <w:pStyle w:val="ListBullet"/>
      </w:pPr>
      <w:r>
        <w:t>Serviceability controls.</w:t>
      </w:r>
    </w:p>
    <w:p>
      <w:pPr>
        <w:pStyle w:val="ListBullet"/>
      </w:pPr>
      <w:r>
        <w:t>Sales-to-Operations handoff.</w:t>
      </w:r>
    </w:p>
    <w:p>
      <w:pPr>
        <w:pStyle w:val="ListBullet"/>
      </w:pPr>
      <w:r>
        <w:t>Operational quality/SLA controls.</w:t>
      </w:r>
    </w:p>
    <w:p>
      <w:pPr>
        <w:pStyle w:val="ListBullet"/>
      </w:pPr>
      <w:r>
        <w:t>Customer communication.</w:t>
      </w:r>
    </w:p>
    <w:p>
      <w:pPr>
        <w:pStyle w:val="ListBullet"/>
      </w:pPr>
      <w:r>
        <w:t>Financial visibility.</w:t>
      </w:r>
    </w:p>
    <w:p>
      <w:pPr>
        <w:pStyle w:val="ListBullet"/>
      </w:pPr>
      <w:r>
        <w:t>KPI ownership.</w:t>
      </w:r>
    </w:p>
    <w:p>
      <w:pPr>
        <w:pStyle w:val="ListBullet"/>
      </w:pPr>
      <w:r>
        <w:t>Data integrity.</w:t>
      </w:r>
    </w:p>
    <w:p>
      <w:pPr>
        <w:pStyle w:val="ListBullet"/>
      </w:pPr>
      <w:r>
        <w:t>Customer privacy and trust controls.</w:t>
      </w:r>
    </w:p>
    <w:p>
      <w:pPr>
        <w:pStyle w:val="Heading1"/>
      </w:pPr>
      <w:r>
        <w:t>24. Initiative Backlog</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Initiative</w:t>
            </w:r>
          </w:p>
        </w:tc>
        <w:tc>
          <w:tcPr>
            <w:tcW w:type="dxa" w:w="1461"/>
          </w:tcPr>
          <w:p>
            <w:r>
              <w:t>Priority</w:t>
            </w:r>
          </w:p>
        </w:tc>
        <w:tc>
          <w:tcPr>
            <w:tcW w:type="dxa" w:w="1461"/>
          </w:tcPr>
          <w:p>
            <w:r>
              <w:t>Owner</w:t>
            </w:r>
          </w:p>
        </w:tc>
        <w:tc>
          <w:tcPr>
            <w:tcW w:type="dxa" w:w="1461"/>
          </w:tcPr>
          <w:p>
            <w:r>
              <w:t>Quarter</w:t>
            </w:r>
          </w:p>
        </w:tc>
        <w:tc>
          <w:tcPr>
            <w:tcW w:type="dxa" w:w="1461"/>
          </w:tcPr>
          <w:p>
            <w:r>
              <w:t>Dependency</w:t>
            </w:r>
          </w:p>
        </w:tc>
        <w:tc>
          <w:tcPr>
            <w:tcW w:type="dxa" w:w="1461"/>
          </w:tcPr>
          <w:p>
            <w:r>
              <w:t>Status</w:t>
            </w:r>
          </w:p>
        </w:tc>
        <w:tc>
          <w:tcPr>
            <w:tcW w:type="dxa" w:w="1461"/>
          </w:tcPr>
          <w:p>
            <w:r>
              <w:t>Expected Outcome</w:t>
            </w:r>
          </w:p>
        </w:tc>
      </w:tr>
      <w:tr>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r>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r>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r>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r>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bl>
    <w:p>
      <w:pPr>
        <w:pStyle w:val="Heading1"/>
      </w:pPr>
      <w:r>
        <w:t>25. Weekly Execution Tracker</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Workstream</w:t>
            </w:r>
          </w:p>
        </w:tc>
        <w:tc>
          <w:tcPr>
            <w:tcW w:type="dxa" w:w="1461"/>
          </w:tcPr>
          <w:p>
            <w:r>
              <w:t>This Week's Outcome</w:t>
            </w:r>
          </w:p>
        </w:tc>
        <w:tc>
          <w:tcPr>
            <w:tcW w:type="dxa" w:w="1461"/>
          </w:tcPr>
          <w:p>
            <w:r>
              <w:t>Owner</w:t>
            </w:r>
          </w:p>
        </w:tc>
        <w:tc>
          <w:tcPr>
            <w:tcW w:type="dxa" w:w="1461"/>
          </w:tcPr>
          <w:p>
            <w:r>
              <w:t>Due</w:t>
            </w:r>
          </w:p>
        </w:tc>
        <w:tc>
          <w:tcPr>
            <w:tcW w:type="dxa" w:w="1461"/>
          </w:tcPr>
          <w:p>
            <w:r>
              <w:t>Status</w:t>
            </w:r>
          </w:p>
        </w:tc>
        <w:tc>
          <w:tcPr>
            <w:tcW w:type="dxa" w:w="1461"/>
          </w:tcPr>
          <w:p>
            <w:r>
              <w:t>Blocker</w:t>
            </w:r>
          </w:p>
        </w:tc>
        <w:tc>
          <w:tcPr>
            <w:tcW w:type="dxa" w:w="1461"/>
          </w:tcPr>
          <w:p>
            <w:r>
              <w:t>Next Step</w:t>
            </w:r>
          </w:p>
        </w:tc>
      </w:tr>
      <w:tr>
        <w:tc>
          <w:tcPr>
            <w:tcW w:type="dxa" w:w="1461"/>
          </w:tcPr>
          <w:p>
            <w:r>
              <w:t>Brand</w:t>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r>
        <w:tc>
          <w:tcPr>
            <w:tcW w:type="dxa" w:w="1461"/>
          </w:tcPr>
          <w:p>
            <w:r>
              <w:t>Marketing</w:t>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r>
        <w:tc>
          <w:tcPr>
            <w:tcW w:type="dxa" w:w="1461"/>
          </w:tcPr>
          <w:p>
            <w:r>
              <w:t>Partnerships</w:t>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r>
        <w:tc>
          <w:tcPr>
            <w:tcW w:type="dxa" w:w="1461"/>
          </w:tcPr>
          <w:p>
            <w:r>
              <w:t>Sales</w:t>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r>
        <w:tc>
          <w:tcPr>
            <w:tcW w:type="dxa" w:w="1461"/>
          </w:tcPr>
          <w:p>
            <w:r>
              <w:t>CX</w:t>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r>
        <w:tc>
          <w:tcPr>
            <w:tcW w:type="dxa" w:w="1461"/>
          </w:tcPr>
          <w:p>
            <w:r>
              <w:t>Operations</w:t>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r>
        <w:tc>
          <w:tcPr>
            <w:tcW w:type="dxa" w:w="1461"/>
          </w:tcPr>
          <w:p>
            <w:r>
              <w:t>Finance</w:t>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r>
        <w:tc>
          <w:tcPr>
            <w:tcW w:type="dxa" w:w="1461"/>
          </w:tcPr>
          <w:p>
            <w:r>
              <w:t>Management</w:t>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bl>
    <w:p>
      <w:pPr>
        <w:pStyle w:val="Heading1"/>
      </w:pPr>
      <w:r>
        <w:t>26. Monthly Operating Review</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Area</w:t>
            </w:r>
          </w:p>
        </w:tc>
        <w:tc>
          <w:tcPr>
            <w:tcW w:type="dxa" w:w="1278"/>
          </w:tcPr>
          <w:p>
            <w:r>
              <w:t>Actual</w:t>
            </w:r>
          </w:p>
        </w:tc>
        <w:tc>
          <w:tcPr>
            <w:tcW w:type="dxa" w:w="1278"/>
          </w:tcPr>
          <w:p>
            <w:r>
              <w:t>Target</w:t>
            </w:r>
          </w:p>
        </w:tc>
        <w:tc>
          <w:tcPr>
            <w:tcW w:type="dxa" w:w="1278"/>
          </w:tcPr>
          <w:p>
            <w:r>
              <w:t>Variance</w:t>
            </w:r>
          </w:p>
        </w:tc>
        <w:tc>
          <w:tcPr>
            <w:tcW w:type="dxa" w:w="1278"/>
          </w:tcPr>
          <w:p>
            <w:r>
              <w:t>Root Cause</w:t>
            </w:r>
          </w:p>
        </w:tc>
        <w:tc>
          <w:tcPr>
            <w:tcW w:type="dxa" w:w="1278"/>
          </w:tcPr>
          <w:p>
            <w:r>
              <w:t>Decision</w:t>
            </w:r>
          </w:p>
        </w:tc>
        <w:tc>
          <w:tcPr>
            <w:tcW w:type="dxa" w:w="1278"/>
          </w:tcPr>
          <w:p>
            <w:r>
              <w:t>Owner</w:t>
            </w:r>
          </w:p>
        </w:tc>
        <w:tc>
          <w:tcPr>
            <w:tcW w:type="dxa" w:w="1278"/>
          </w:tcPr>
          <w:p>
            <w:r>
              <w:t>Due</w:t>
            </w:r>
          </w:p>
        </w:tc>
      </w:tr>
      <w:tr>
        <w:tc>
          <w:tcPr>
            <w:tcW w:type="dxa" w:w="1278"/>
          </w:tcPr>
          <w:p>
            <w:r>
              <w:t>Demand</w:t>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r>
      <w:tr>
        <w:tc>
          <w:tcPr>
            <w:tcW w:type="dxa" w:w="1278"/>
          </w:tcPr>
          <w:p>
            <w:r>
              <w:t>Conversion</w:t>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r>
      <w:tr>
        <w:tc>
          <w:tcPr>
            <w:tcW w:type="dxa" w:w="1278"/>
          </w:tcPr>
          <w:p>
            <w:r>
              <w:t>CX</w:t>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r>
      <w:tr>
        <w:tc>
          <w:tcPr>
            <w:tcW w:type="dxa" w:w="1278"/>
          </w:tcPr>
          <w:p>
            <w:r>
              <w:t>Operations</w:t>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r>
      <w:tr>
        <w:tc>
          <w:tcPr>
            <w:tcW w:type="dxa" w:w="1278"/>
          </w:tcPr>
          <w:p>
            <w:r>
              <w:t>Economics</w:t>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r>
      <w:tr>
        <w:tc>
          <w:tcPr>
            <w:tcW w:type="dxa" w:w="1278"/>
          </w:tcPr>
          <w:p>
            <w:r>
              <w:t>Cash</w:t>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r>
    </w:tbl>
    <w:p>
      <w:pPr>
        <w:pStyle w:val="Heading1"/>
      </w:pPr>
      <w:r>
        <w:t>27. OKR Scoring</w:t>
      </w:r>
    </w:p>
    <w:p>
      <w:r>
        <w:rPr>
          <w:b/>
        </w:rPr>
        <w:t>Use a simple score only after the underlying KPI is trusted.</w:t>
      </w:r>
    </w:p>
    <w:tbl>
      <w:tblPr>
        <w:tblStyle w:val="TableGrid"/>
        <w:tblW w:type="auto" w:w="0"/>
        <w:jc w:val="center"/>
        <w:tblLook w:firstColumn="1" w:firstRow="1" w:lastColumn="0" w:lastRow="0" w:noHBand="0" w:noVBand="1" w:val="04A0"/>
      </w:tblPr>
      <w:tblGrid>
        <w:gridCol w:w="5112"/>
        <w:gridCol w:w="5112"/>
      </w:tblGrid>
      <w:tr>
        <w:tc>
          <w:tcPr>
            <w:tcW w:type="dxa" w:w="5112"/>
          </w:tcPr>
          <w:p>
            <w:r>
              <w:t>Score</w:t>
            </w:r>
          </w:p>
        </w:tc>
        <w:tc>
          <w:tcPr>
            <w:tcW w:type="dxa" w:w="5112"/>
          </w:tcPr>
          <w:p>
            <w:r>
              <w:t>Interpretation</w:t>
            </w:r>
          </w:p>
        </w:tc>
      </w:tr>
      <w:tr>
        <w:tc>
          <w:tcPr>
            <w:tcW w:type="dxa" w:w="5112"/>
          </w:tcPr>
          <w:p>
            <w:r>
              <w:t>0.0–0.3</w:t>
            </w:r>
          </w:p>
        </w:tc>
        <w:tc>
          <w:tcPr>
            <w:tcW w:type="dxa" w:w="5112"/>
          </w:tcPr>
          <w:p>
            <w:r>
              <w:t>Materially off-track; redesign or intervene.</w:t>
            </w:r>
          </w:p>
        </w:tc>
      </w:tr>
      <w:tr>
        <w:tc>
          <w:tcPr>
            <w:tcW w:type="dxa" w:w="5112"/>
          </w:tcPr>
          <w:p>
            <w:r>
              <w:t>0.4–0.6</w:t>
            </w:r>
          </w:p>
        </w:tc>
        <w:tc>
          <w:tcPr>
            <w:tcW w:type="dxa" w:w="5112"/>
          </w:tcPr>
          <w:p>
            <w:r>
              <w:t>Partial progress; identify constraint.</w:t>
            </w:r>
          </w:p>
        </w:tc>
      </w:tr>
      <w:tr>
        <w:tc>
          <w:tcPr>
            <w:tcW w:type="dxa" w:w="5112"/>
          </w:tcPr>
          <w:p>
            <w:r>
              <w:t>0.7–0.9</w:t>
            </w:r>
          </w:p>
        </w:tc>
        <w:tc>
          <w:tcPr>
            <w:tcW w:type="dxa" w:w="5112"/>
          </w:tcPr>
          <w:p>
            <w:r>
              <w:t>Strong progress; continue and optimize.</w:t>
            </w:r>
          </w:p>
        </w:tc>
      </w:tr>
      <w:tr>
        <w:tc>
          <w:tcPr>
            <w:tcW w:type="dxa" w:w="5112"/>
          </w:tcPr>
          <w:p>
            <w:r>
              <w:t>1.0</w:t>
            </w:r>
          </w:p>
        </w:tc>
        <w:tc>
          <w:tcPr>
            <w:tcW w:type="dxa" w:w="5112"/>
          </w:tcPr>
          <w:p>
            <w:r>
              <w:t>Target achieved.</w:t>
            </w:r>
          </w:p>
        </w:tc>
      </w:tr>
      <w:tr>
        <w:tc>
          <w:tcPr>
            <w:tcW w:type="dxa" w:w="5112"/>
          </w:tcPr>
          <w:p>
            <w:r>
              <w:t>Above target</w:t>
            </w:r>
          </w:p>
        </w:tc>
        <w:tc>
          <w:tcPr>
            <w:tcW w:type="dxa" w:w="5112"/>
          </w:tcPr>
          <w:p>
            <w:r>
              <w:t>Investigate whether target should be raised or whether quality/cost was compromised.</w:t>
            </w:r>
          </w:p>
        </w:tc>
      </w:tr>
    </w:tbl>
    <w:p>
      <w:r>
        <w:rPr>
          <w:b w:val="0"/>
        </w:rPr>
        <w:t>Do not reward gaming. A higher metric is not automatically better if it damages trust, quality or economics.</w:t>
      </w:r>
    </w:p>
    <w:p>
      <w:pPr>
        <w:pStyle w:val="Heading1"/>
      </w:pPr>
      <w:r>
        <w:t>28. OKR Anti-Patterns</w:t>
      </w:r>
    </w:p>
    <w:p>
      <w:pPr>
        <w:pStyle w:val="ListBullet"/>
      </w:pPr>
      <w:r>
        <w:t>Too many objectives.</w:t>
      </w:r>
    </w:p>
    <w:p>
      <w:pPr>
        <w:pStyle w:val="ListBullet"/>
      </w:pPr>
      <w:r>
        <w:t>Key results that are actually tasks.</w:t>
      </w:r>
    </w:p>
    <w:p>
      <w:pPr>
        <w:pStyle w:val="ListBullet"/>
      </w:pPr>
      <w:r>
        <w:t>KRs without measurable definitions.</w:t>
      </w:r>
    </w:p>
    <w:p>
      <w:pPr>
        <w:pStyle w:val="ListBullet"/>
      </w:pPr>
      <w:r>
        <w:t>Targets chosen without a baseline.</w:t>
      </w:r>
    </w:p>
    <w:p>
      <w:pPr>
        <w:pStyle w:val="ListBullet"/>
      </w:pPr>
      <w:r>
        <w:t>Goals that conflict across functions.</w:t>
      </w:r>
    </w:p>
    <w:p>
      <w:pPr>
        <w:pStyle w:val="ListBullet"/>
      </w:pPr>
      <w:r>
        <w:t>Growth targets that ignore capacity.</w:t>
      </w:r>
    </w:p>
    <w:p>
      <w:pPr>
        <w:pStyle w:val="ListBullet"/>
      </w:pPr>
      <w:r>
        <w:t>Revenue goals without margin/cash controls.</w:t>
      </w:r>
    </w:p>
    <w:p>
      <w:pPr>
        <w:pStyle w:val="ListBullet"/>
      </w:pPr>
      <w:r>
        <w:t>Activity metrics presented as strategic outcomes.</w:t>
      </w:r>
    </w:p>
    <w:p>
      <w:pPr>
        <w:pStyle w:val="ListBullet"/>
      </w:pPr>
      <w:r>
        <w:t>Quarterly goals that never get reviewed.</w:t>
      </w:r>
    </w:p>
    <w:p>
      <w:pPr>
        <w:pStyle w:val="Heading1"/>
      </w:pPr>
      <w:r>
        <w:t>29. Strategic Experiments</w:t>
      </w:r>
    </w:p>
    <w:tbl>
      <w:tblPr>
        <w:tblStyle w:val="TableGrid"/>
        <w:tblW w:type="auto" w:w="0"/>
        <w:jc w:val="center"/>
        <w:tblLook w:firstColumn="1" w:firstRow="1" w:lastColumn="0" w:lastRow="0" w:noHBand="0" w:noVBand="1" w:val="04A0"/>
      </w:tblPr>
      <w:tblGrid>
        <w:gridCol w:w="5112"/>
        <w:gridCol w:w="5112"/>
      </w:tblGrid>
      <w:tr>
        <w:tc>
          <w:tcPr>
            <w:tcW w:type="dxa" w:w="5112"/>
          </w:tcPr>
          <w:p>
            <w:r>
              <w:t>Quarter</w:t>
            </w:r>
          </w:p>
        </w:tc>
        <w:tc>
          <w:tcPr>
            <w:tcW w:type="dxa" w:w="5112"/>
          </w:tcPr>
          <w:p>
            <w:r>
              <w:t>Experiment Theme</w:t>
            </w:r>
          </w:p>
        </w:tc>
      </w:tr>
      <w:tr>
        <w:tc>
          <w:tcPr>
            <w:tcW w:type="dxa" w:w="5112"/>
          </w:tcPr>
          <w:p>
            <w:r>
              <w:t>Q1</w:t>
            </w:r>
          </w:p>
        </w:tc>
        <w:tc>
          <w:tcPr>
            <w:tcW w:type="dxa" w:w="5112"/>
          </w:tcPr>
          <w:p>
            <w:r>
              <w:t>Message, ICP and service proposition.</w:t>
            </w:r>
          </w:p>
        </w:tc>
      </w:tr>
      <w:tr>
        <w:tc>
          <w:tcPr>
            <w:tcW w:type="dxa" w:w="5112"/>
          </w:tcPr>
          <w:p>
            <w:r>
              <w:t>Q2</w:t>
            </w:r>
          </w:p>
        </w:tc>
        <w:tc>
          <w:tcPr>
            <w:tcW w:type="dxa" w:w="5112"/>
          </w:tcPr>
          <w:p>
            <w:r>
              <w:t>Channel, sales conversion and pricing.</w:t>
            </w:r>
          </w:p>
        </w:tc>
      </w:tr>
      <w:tr>
        <w:tc>
          <w:tcPr>
            <w:tcW w:type="dxa" w:w="5112"/>
          </w:tcPr>
          <w:p>
            <w:r>
              <w:t>Q3</w:t>
            </w:r>
          </w:p>
        </w:tc>
        <w:tc>
          <w:tcPr>
            <w:tcW w:type="dxa" w:w="5112"/>
          </w:tcPr>
          <w:p>
            <w:r>
              <w:t>Retention, referral and customer advocacy.</w:t>
            </w:r>
          </w:p>
        </w:tc>
      </w:tr>
      <w:tr>
        <w:tc>
          <w:tcPr>
            <w:tcW w:type="dxa" w:w="5112"/>
          </w:tcPr>
          <w:p>
            <w:r>
              <w:t>Q4</w:t>
            </w:r>
          </w:p>
        </w:tc>
        <w:tc>
          <w:tcPr>
            <w:tcW w:type="dxa" w:w="5112"/>
          </w:tcPr>
          <w:p>
            <w:r>
              <w:t>Scale, automation and geographic/service expansion.</w:t>
            </w:r>
          </w:p>
        </w:tc>
      </w:tr>
    </w:tbl>
    <w:p>
      <w:pPr>
        <w:pStyle w:val="Heading1"/>
      </w:pPr>
      <w:r>
        <w:t>30. Experiment Governance</w:t>
      </w:r>
    </w:p>
    <w:p>
      <w:pPr>
        <w:pStyle w:val="ListNumber"/>
      </w:pPr>
      <w:r>
        <w:t>State the hypothesis.</w:t>
      </w:r>
    </w:p>
    <w:p>
      <w:pPr>
        <w:pStyle w:val="ListNumber"/>
      </w:pPr>
      <w:r>
        <w:t>Define primary metric.</w:t>
      </w:r>
    </w:p>
    <w:p>
      <w:pPr>
        <w:pStyle w:val="ListNumber"/>
      </w:pPr>
      <w:r>
        <w:t>Define guardrails.</w:t>
      </w:r>
    </w:p>
    <w:p>
      <w:pPr>
        <w:pStyle w:val="ListNumber"/>
      </w:pPr>
      <w:r>
        <w:t>Run for a defined period or sample.</w:t>
      </w:r>
    </w:p>
    <w:p>
      <w:pPr>
        <w:pStyle w:val="ListNumber"/>
      </w:pPr>
      <w:r>
        <w:t>Review customer and operational effects.</w:t>
      </w:r>
    </w:p>
    <w:p>
      <w:pPr>
        <w:pStyle w:val="ListNumber"/>
      </w:pPr>
      <w:r>
        <w:t>Decide: scale, modify, stop or repeat.</w:t>
      </w:r>
    </w:p>
    <w:p>
      <w:pPr>
        <w:pStyle w:val="Heading1"/>
      </w:pPr>
      <w:r>
        <w:t>31. Resource Allocation Framework</w:t>
      </w:r>
    </w:p>
    <w:tbl>
      <w:tblPr>
        <w:tblStyle w:val="TableGrid"/>
        <w:tblW w:type="auto" w:w="0"/>
        <w:jc w:val="center"/>
        <w:tblLook w:firstColumn="1" w:firstRow="1" w:lastColumn="0" w:lastRow="0" w:noHBand="0" w:noVBand="1" w:val="04A0"/>
      </w:tblPr>
      <w:tblGrid>
        <w:gridCol w:w="5112"/>
        <w:gridCol w:w="5112"/>
      </w:tblGrid>
      <w:tr>
        <w:tc>
          <w:tcPr>
            <w:tcW w:type="dxa" w:w="5112"/>
          </w:tcPr>
          <w:p>
            <w:r>
              <w:t>Investment Type</w:t>
            </w:r>
          </w:p>
        </w:tc>
        <w:tc>
          <w:tcPr>
            <w:tcW w:type="dxa" w:w="5112"/>
          </w:tcPr>
          <w:p>
            <w:r>
              <w:t>Decision Basis</w:t>
            </w:r>
          </w:p>
        </w:tc>
      </w:tr>
      <w:tr>
        <w:tc>
          <w:tcPr>
            <w:tcW w:type="dxa" w:w="5112"/>
          </w:tcPr>
          <w:p>
            <w:r>
              <w:t>People</w:t>
            </w:r>
          </w:p>
        </w:tc>
        <w:tc>
          <w:tcPr>
            <w:tcW w:type="dxa" w:w="5112"/>
          </w:tcPr>
          <w:p>
            <w:r>
              <w:t>Capacity bottleneck and expected contribution.</w:t>
            </w:r>
          </w:p>
        </w:tc>
      </w:tr>
      <w:tr>
        <w:tc>
          <w:tcPr>
            <w:tcW w:type="dxa" w:w="5112"/>
          </w:tcPr>
          <w:p>
            <w:r>
              <w:t>Marketing</w:t>
            </w:r>
          </w:p>
        </w:tc>
        <w:tc>
          <w:tcPr>
            <w:tcW w:type="dxa" w:w="5112"/>
          </w:tcPr>
          <w:p>
            <w:r>
              <w:t>Qualified demand + CAC + customer quality.</w:t>
            </w:r>
          </w:p>
        </w:tc>
      </w:tr>
      <w:tr>
        <w:tc>
          <w:tcPr>
            <w:tcW w:type="dxa" w:w="5112"/>
          </w:tcPr>
          <w:p>
            <w:r>
              <w:t>Technology</w:t>
            </w:r>
          </w:p>
        </w:tc>
        <w:tc>
          <w:tcPr>
            <w:tcW w:type="dxa" w:w="5112"/>
          </w:tcPr>
          <w:p>
            <w:r>
              <w:t>Meaningful reduction in cost/friction or improvement in control.</w:t>
            </w:r>
          </w:p>
        </w:tc>
      </w:tr>
      <w:tr>
        <w:tc>
          <w:tcPr>
            <w:tcW w:type="dxa" w:w="5112"/>
          </w:tcPr>
          <w:p>
            <w:r>
              <w:t>Operations coverage</w:t>
            </w:r>
          </w:p>
        </w:tc>
        <w:tc>
          <w:tcPr>
            <w:tcW w:type="dxa" w:w="5112"/>
          </w:tcPr>
          <w:p>
            <w:r>
              <w:t>Demand + SLA + quality need.</w:t>
            </w:r>
          </w:p>
        </w:tc>
      </w:tr>
      <w:tr>
        <w:tc>
          <w:tcPr>
            <w:tcW w:type="dxa" w:w="5112"/>
          </w:tcPr>
          <w:p>
            <w:r>
              <w:t>Partnerships</w:t>
            </w:r>
          </w:p>
        </w:tc>
        <w:tc>
          <w:tcPr>
            <w:tcW w:type="dxa" w:w="5112"/>
          </w:tcPr>
          <w:p>
            <w:r>
              <w:t>Qualified demand + contribution + strategic access.</w:t>
            </w:r>
          </w:p>
        </w:tc>
      </w:tr>
      <w:tr>
        <w:tc>
          <w:tcPr>
            <w:tcW w:type="dxa" w:w="5112"/>
          </w:tcPr>
          <w:p>
            <w:r>
              <w:t>Brand</w:t>
            </w:r>
          </w:p>
        </w:tc>
        <w:tc>
          <w:tcPr>
            <w:tcW w:type="dxa" w:w="5112"/>
          </w:tcPr>
          <w:p>
            <w:r>
              <w:t>Trust/positioning impact + long-term demand value.</w:t>
            </w:r>
          </w:p>
        </w:tc>
      </w:tr>
    </w:tbl>
    <w:p>
      <w:pPr>
        <w:pStyle w:val="Heading1"/>
      </w:pPr>
      <w:r>
        <w:t>32. Scale Gate</w:t>
      </w:r>
    </w:p>
    <w:p>
      <w:r>
        <w:rPr>
          <w:b/>
        </w:rPr>
        <w:t>No major scaling decision should pass unless the following are reasonably healthy:</w:t>
      </w:r>
    </w:p>
    <w:p>
      <w:pPr>
        <w:pStyle w:val="ListBullet"/>
      </w:pPr>
      <w:r>
        <w:t>Customer demand is real.</w:t>
      </w:r>
    </w:p>
    <w:p>
      <w:pPr>
        <w:pStyle w:val="ListBullet"/>
      </w:pPr>
      <w:r>
        <w:t>Sales conversion is understood.</w:t>
      </w:r>
    </w:p>
    <w:p>
      <w:pPr>
        <w:pStyle w:val="ListBullet"/>
      </w:pPr>
      <w:r>
        <w:t>Service scope is repeatable.</w:t>
      </w:r>
    </w:p>
    <w:p>
      <w:pPr>
        <w:pStyle w:val="ListBullet"/>
      </w:pPr>
      <w:r>
        <w:t>Operational capacity exists.</w:t>
      </w:r>
    </w:p>
    <w:p>
      <w:pPr>
        <w:pStyle w:val="ListBullet"/>
      </w:pPr>
      <w:r>
        <w:t>Quality is controlled.</w:t>
      </w:r>
    </w:p>
    <w:p>
      <w:pPr>
        <w:pStyle w:val="ListBullet"/>
      </w:pPr>
      <w:r>
        <w:t>Customer satisfaction is acceptable.</w:t>
      </w:r>
    </w:p>
    <w:p>
      <w:pPr>
        <w:pStyle w:val="ListBullet"/>
      </w:pPr>
      <w:r>
        <w:t>Unit economics are viable.</w:t>
      </w:r>
    </w:p>
    <w:p>
      <w:pPr>
        <w:pStyle w:val="ListBullet"/>
      </w:pPr>
      <w:r>
        <w:t>Cash/funding supports the plan.</w:t>
      </w:r>
    </w:p>
    <w:p>
      <w:pPr>
        <w:pStyle w:val="ListBullet"/>
      </w:pPr>
      <w:r>
        <w:t>KPI data is sufficiently reliable.</w:t>
      </w:r>
    </w:p>
    <w:p>
      <w:pPr>
        <w:pStyle w:val="Heading1"/>
      </w:pPr>
      <w:r>
        <w:t>33. Scale Gate Scorecard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Dimension</w:t>
            </w:r>
          </w:p>
        </w:tc>
        <w:tc>
          <w:tcPr>
            <w:tcW w:type="dxa" w:w="2556"/>
          </w:tcPr>
          <w:p>
            <w:r>
              <w:t>Status</w:t>
            </w:r>
          </w:p>
        </w:tc>
        <w:tc>
          <w:tcPr>
            <w:tcW w:type="dxa" w:w="2556"/>
          </w:tcPr>
          <w:p>
            <w:r>
              <w:t>Evidence</w:t>
            </w:r>
          </w:p>
        </w:tc>
        <w:tc>
          <w:tcPr>
            <w:tcW w:type="dxa" w:w="2556"/>
          </w:tcPr>
          <w:p>
            <w:r>
              <w:t>Decision</w:t>
            </w:r>
          </w:p>
        </w:tc>
      </w:tr>
      <w:tr>
        <w:tc>
          <w:tcPr>
            <w:tcW w:type="dxa" w:w="2556"/>
          </w:tcPr>
          <w:p>
            <w:r>
              <w:t>Demand</w:t>
            </w:r>
          </w:p>
        </w:tc>
        <w:tc>
          <w:tcPr>
            <w:tcW w:type="dxa" w:w="2556"/>
          </w:tcPr>
          <w:p>
            <w:r/>
          </w:p>
        </w:tc>
        <w:tc>
          <w:tcPr>
            <w:tcW w:type="dxa" w:w="2556"/>
          </w:tcPr>
          <w:p>
            <w:r/>
          </w:p>
        </w:tc>
        <w:tc>
          <w:tcPr>
            <w:tcW w:type="dxa" w:w="2556"/>
          </w:tcPr>
          <w:p>
            <w:r/>
          </w:p>
        </w:tc>
      </w:tr>
      <w:tr>
        <w:tc>
          <w:tcPr>
            <w:tcW w:type="dxa" w:w="2556"/>
          </w:tcPr>
          <w:p>
            <w:r>
              <w:t>Conversion</w:t>
            </w:r>
          </w:p>
        </w:tc>
        <w:tc>
          <w:tcPr>
            <w:tcW w:type="dxa" w:w="2556"/>
          </w:tcPr>
          <w:p>
            <w:r/>
          </w:p>
        </w:tc>
        <w:tc>
          <w:tcPr>
            <w:tcW w:type="dxa" w:w="2556"/>
          </w:tcPr>
          <w:p>
            <w:r/>
          </w:p>
        </w:tc>
        <w:tc>
          <w:tcPr>
            <w:tcW w:type="dxa" w:w="2556"/>
          </w:tcPr>
          <w:p>
            <w:r/>
          </w:p>
        </w:tc>
      </w:tr>
      <w:tr>
        <w:tc>
          <w:tcPr>
            <w:tcW w:type="dxa" w:w="2556"/>
          </w:tcPr>
          <w:p>
            <w:r>
              <w:t>Delivery</w:t>
            </w:r>
          </w:p>
        </w:tc>
        <w:tc>
          <w:tcPr>
            <w:tcW w:type="dxa" w:w="2556"/>
          </w:tcPr>
          <w:p>
            <w:r/>
          </w:p>
        </w:tc>
        <w:tc>
          <w:tcPr>
            <w:tcW w:type="dxa" w:w="2556"/>
          </w:tcPr>
          <w:p>
            <w:r/>
          </w:p>
        </w:tc>
        <w:tc>
          <w:tcPr>
            <w:tcW w:type="dxa" w:w="2556"/>
          </w:tcPr>
          <w:p>
            <w:r/>
          </w:p>
        </w:tc>
      </w:tr>
      <w:tr>
        <w:tc>
          <w:tcPr>
            <w:tcW w:type="dxa" w:w="2556"/>
          </w:tcPr>
          <w:p>
            <w:r>
              <w:t>Quality</w:t>
            </w:r>
          </w:p>
        </w:tc>
        <w:tc>
          <w:tcPr>
            <w:tcW w:type="dxa" w:w="2556"/>
          </w:tcPr>
          <w:p>
            <w:r/>
          </w:p>
        </w:tc>
        <w:tc>
          <w:tcPr>
            <w:tcW w:type="dxa" w:w="2556"/>
          </w:tcPr>
          <w:p>
            <w:r/>
          </w:p>
        </w:tc>
        <w:tc>
          <w:tcPr>
            <w:tcW w:type="dxa" w:w="2556"/>
          </w:tcPr>
          <w:p>
            <w:r/>
          </w:p>
        </w:tc>
      </w:tr>
      <w:tr>
        <w:tc>
          <w:tcPr>
            <w:tcW w:type="dxa" w:w="2556"/>
          </w:tcPr>
          <w:p>
            <w:r>
              <w:t>Customer value</w:t>
            </w:r>
          </w:p>
        </w:tc>
        <w:tc>
          <w:tcPr>
            <w:tcW w:type="dxa" w:w="2556"/>
          </w:tcPr>
          <w:p>
            <w:r/>
          </w:p>
        </w:tc>
        <w:tc>
          <w:tcPr>
            <w:tcW w:type="dxa" w:w="2556"/>
          </w:tcPr>
          <w:p>
            <w:r/>
          </w:p>
        </w:tc>
        <w:tc>
          <w:tcPr>
            <w:tcW w:type="dxa" w:w="2556"/>
          </w:tcPr>
          <w:p>
            <w:r/>
          </w:p>
        </w:tc>
      </w:tr>
      <w:tr>
        <w:tc>
          <w:tcPr>
            <w:tcW w:type="dxa" w:w="2556"/>
          </w:tcPr>
          <w:p>
            <w:r>
              <w:t>Economics</w:t>
            </w:r>
          </w:p>
        </w:tc>
        <w:tc>
          <w:tcPr>
            <w:tcW w:type="dxa" w:w="2556"/>
          </w:tcPr>
          <w:p>
            <w:r/>
          </w:p>
        </w:tc>
        <w:tc>
          <w:tcPr>
            <w:tcW w:type="dxa" w:w="2556"/>
          </w:tcPr>
          <w:p>
            <w:r/>
          </w:p>
        </w:tc>
        <w:tc>
          <w:tcPr>
            <w:tcW w:type="dxa" w:w="2556"/>
          </w:tcPr>
          <w:p>
            <w:r/>
          </w:p>
        </w:tc>
      </w:tr>
      <w:tr>
        <w:tc>
          <w:tcPr>
            <w:tcW w:type="dxa" w:w="2556"/>
          </w:tcPr>
          <w:p>
            <w:r>
              <w:t>Cash</w:t>
            </w:r>
          </w:p>
        </w:tc>
        <w:tc>
          <w:tcPr>
            <w:tcW w:type="dxa" w:w="2556"/>
          </w:tcPr>
          <w:p>
            <w:r/>
          </w:p>
        </w:tc>
        <w:tc>
          <w:tcPr>
            <w:tcW w:type="dxa" w:w="2556"/>
          </w:tcPr>
          <w:p>
            <w:r/>
          </w:p>
        </w:tc>
        <w:tc>
          <w:tcPr>
            <w:tcW w:type="dxa" w:w="2556"/>
          </w:tcPr>
          <w:p>
            <w:r/>
          </w:p>
        </w:tc>
      </w:tr>
      <w:tr>
        <w:tc>
          <w:tcPr>
            <w:tcW w:type="dxa" w:w="2556"/>
          </w:tcPr>
          <w:p>
            <w:r>
              <w:t>Data</w:t>
            </w:r>
          </w:p>
        </w:tc>
        <w:tc>
          <w:tcPr>
            <w:tcW w:type="dxa" w:w="2556"/>
          </w:tcPr>
          <w:p>
            <w:r/>
          </w:p>
        </w:tc>
        <w:tc>
          <w:tcPr>
            <w:tcW w:type="dxa" w:w="2556"/>
          </w:tcPr>
          <w:p>
            <w:r/>
          </w:p>
        </w:tc>
        <w:tc>
          <w:tcPr>
            <w:tcW w:type="dxa" w:w="2556"/>
          </w:tcPr>
          <w:p>
            <w:r/>
          </w:p>
        </w:tc>
      </w:tr>
    </w:tbl>
    <w:p>
      <w:pPr>
        <w:pStyle w:val="Heading1"/>
      </w:pPr>
      <w:r>
        <w:t>34. Strategic Risk Register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Risk</w:t>
            </w:r>
          </w:p>
        </w:tc>
        <w:tc>
          <w:tcPr>
            <w:tcW w:type="dxa" w:w="1704"/>
          </w:tcPr>
          <w:p>
            <w:r>
              <w:t>Likelihood</w:t>
            </w:r>
          </w:p>
        </w:tc>
        <w:tc>
          <w:tcPr>
            <w:tcW w:type="dxa" w:w="1704"/>
          </w:tcPr>
          <w:p>
            <w:r>
              <w:t>Impact</w:t>
            </w:r>
          </w:p>
        </w:tc>
        <w:tc>
          <w:tcPr>
            <w:tcW w:type="dxa" w:w="1704"/>
          </w:tcPr>
          <w:p>
            <w:r>
              <w:t>Owner</w:t>
            </w:r>
          </w:p>
        </w:tc>
        <w:tc>
          <w:tcPr>
            <w:tcW w:type="dxa" w:w="1704"/>
          </w:tcPr>
          <w:p>
            <w:r>
              <w:t>Mitigation</w:t>
            </w:r>
          </w:p>
        </w:tc>
        <w:tc>
          <w:tcPr>
            <w:tcW w:type="dxa" w:w="1704"/>
          </w:tcPr>
          <w:p>
            <w:r>
              <w:t>Trigger</w:t>
            </w:r>
          </w:p>
        </w:tc>
      </w:tr>
      <w:tr>
        <w:tc>
          <w:tcPr>
            <w:tcW w:type="dxa" w:w="1704"/>
          </w:tcPr>
          <w:p>
            <w:r>
              <w:t>Demand grows faster than capacity</w:t>
            </w:r>
          </w:p>
        </w:tc>
        <w:tc>
          <w:tcPr>
            <w:tcW w:type="dxa" w:w="1704"/>
          </w:tcPr>
          <w:p>
            <w:r/>
          </w:p>
        </w:tc>
        <w:tc>
          <w:tcPr>
            <w:tcW w:type="dxa" w:w="1704"/>
          </w:tcPr>
          <w:p>
            <w:r/>
          </w:p>
        </w:tc>
        <w:tc>
          <w:tcPr>
            <w:tcW w:type="dxa" w:w="1704"/>
          </w:tcPr>
          <w:p>
            <w:r/>
          </w:p>
        </w:tc>
        <w:tc>
          <w:tcPr>
            <w:tcW w:type="dxa" w:w="1704"/>
          </w:tcPr>
          <w:p>
            <w:r/>
          </w:p>
        </w:tc>
        <w:tc>
          <w:tcPr>
            <w:tcW w:type="dxa" w:w="1704"/>
          </w:tcPr>
          <w:p>
            <w:r/>
          </w:p>
        </w:tc>
      </w:tr>
      <w:tr>
        <w:tc>
          <w:tcPr>
            <w:tcW w:type="dxa" w:w="1704"/>
          </w:tcPr>
          <w:p>
            <w:r>
              <w:t>Customer trust damaged by poor delivery</w:t>
            </w:r>
          </w:p>
        </w:tc>
        <w:tc>
          <w:tcPr>
            <w:tcW w:type="dxa" w:w="1704"/>
          </w:tcPr>
          <w:p>
            <w:r/>
          </w:p>
        </w:tc>
        <w:tc>
          <w:tcPr>
            <w:tcW w:type="dxa" w:w="1704"/>
          </w:tcPr>
          <w:p>
            <w:r/>
          </w:p>
        </w:tc>
        <w:tc>
          <w:tcPr>
            <w:tcW w:type="dxa" w:w="1704"/>
          </w:tcPr>
          <w:p>
            <w:r/>
          </w:p>
        </w:tc>
        <w:tc>
          <w:tcPr>
            <w:tcW w:type="dxa" w:w="1704"/>
          </w:tcPr>
          <w:p>
            <w:r/>
          </w:p>
        </w:tc>
        <w:tc>
          <w:tcPr>
            <w:tcW w:type="dxa" w:w="1704"/>
          </w:tcPr>
          <w:p>
            <w:r/>
          </w:p>
        </w:tc>
      </w:tr>
      <w:tr>
        <w:tc>
          <w:tcPr>
            <w:tcW w:type="dxa" w:w="1704"/>
          </w:tcPr>
          <w:p>
            <w:r>
              <w:t>CAC becomes uneconomic</w:t>
            </w:r>
          </w:p>
        </w:tc>
        <w:tc>
          <w:tcPr>
            <w:tcW w:type="dxa" w:w="1704"/>
          </w:tcPr>
          <w:p>
            <w:r/>
          </w:p>
        </w:tc>
        <w:tc>
          <w:tcPr>
            <w:tcW w:type="dxa" w:w="1704"/>
          </w:tcPr>
          <w:p>
            <w:r/>
          </w:p>
        </w:tc>
        <w:tc>
          <w:tcPr>
            <w:tcW w:type="dxa" w:w="1704"/>
          </w:tcPr>
          <w:p>
            <w:r/>
          </w:p>
        </w:tc>
        <w:tc>
          <w:tcPr>
            <w:tcW w:type="dxa" w:w="1704"/>
          </w:tcPr>
          <w:p>
            <w:r/>
          </w:p>
        </w:tc>
        <w:tc>
          <w:tcPr>
            <w:tcW w:type="dxa" w:w="1704"/>
          </w:tcPr>
          <w:p>
            <w:r/>
          </w:p>
        </w:tc>
      </w:tr>
      <w:tr>
        <w:tc>
          <w:tcPr>
            <w:tcW w:type="dxa" w:w="1704"/>
          </w:tcPr>
          <w:p>
            <w:r>
              <w:t>Pricing below cost-to-serve</w:t>
            </w:r>
          </w:p>
        </w:tc>
        <w:tc>
          <w:tcPr>
            <w:tcW w:type="dxa" w:w="1704"/>
          </w:tcPr>
          <w:p>
            <w:r/>
          </w:p>
        </w:tc>
        <w:tc>
          <w:tcPr>
            <w:tcW w:type="dxa" w:w="1704"/>
          </w:tcPr>
          <w:p>
            <w:r/>
          </w:p>
        </w:tc>
        <w:tc>
          <w:tcPr>
            <w:tcW w:type="dxa" w:w="1704"/>
          </w:tcPr>
          <w:p>
            <w:r/>
          </w:p>
        </w:tc>
        <w:tc>
          <w:tcPr>
            <w:tcW w:type="dxa" w:w="1704"/>
          </w:tcPr>
          <w:p>
            <w:r/>
          </w:p>
        </w:tc>
        <w:tc>
          <w:tcPr>
            <w:tcW w:type="dxa" w:w="1704"/>
          </w:tcPr>
          <w:p>
            <w:r/>
          </w:p>
        </w:tc>
      </w:tr>
      <w:tr>
        <w:tc>
          <w:tcPr>
            <w:tcW w:type="dxa" w:w="1704"/>
          </w:tcPr>
          <w:p>
            <w:r>
              <w:t>Representative quality inconsistent</w:t>
            </w:r>
          </w:p>
        </w:tc>
        <w:tc>
          <w:tcPr>
            <w:tcW w:type="dxa" w:w="1704"/>
          </w:tcPr>
          <w:p>
            <w:r/>
          </w:p>
        </w:tc>
        <w:tc>
          <w:tcPr>
            <w:tcW w:type="dxa" w:w="1704"/>
          </w:tcPr>
          <w:p>
            <w:r/>
          </w:p>
        </w:tc>
        <w:tc>
          <w:tcPr>
            <w:tcW w:type="dxa" w:w="1704"/>
          </w:tcPr>
          <w:p>
            <w:r/>
          </w:p>
        </w:tc>
        <w:tc>
          <w:tcPr>
            <w:tcW w:type="dxa" w:w="1704"/>
          </w:tcPr>
          <w:p>
            <w:r/>
          </w:p>
        </w:tc>
        <w:tc>
          <w:tcPr>
            <w:tcW w:type="dxa" w:w="1704"/>
          </w:tcPr>
          <w:p>
            <w:r/>
          </w:p>
        </w:tc>
      </w:tr>
      <w:tr>
        <w:tc>
          <w:tcPr>
            <w:tcW w:type="dxa" w:w="1704"/>
          </w:tcPr>
          <w:p>
            <w:r>
              <w:t>Cash constrained by growth</w:t>
            </w:r>
          </w:p>
        </w:tc>
        <w:tc>
          <w:tcPr>
            <w:tcW w:type="dxa" w:w="1704"/>
          </w:tcPr>
          <w:p>
            <w:r/>
          </w:p>
        </w:tc>
        <w:tc>
          <w:tcPr>
            <w:tcW w:type="dxa" w:w="1704"/>
          </w:tcPr>
          <w:p>
            <w:r/>
          </w:p>
        </w:tc>
        <w:tc>
          <w:tcPr>
            <w:tcW w:type="dxa" w:w="1704"/>
          </w:tcPr>
          <w:p>
            <w:r/>
          </w:p>
        </w:tc>
        <w:tc>
          <w:tcPr>
            <w:tcW w:type="dxa" w:w="1704"/>
          </w:tcPr>
          <w:p>
            <w:r/>
          </w:p>
        </w:tc>
        <w:tc>
          <w:tcPr>
            <w:tcW w:type="dxa" w:w="1704"/>
          </w:tcPr>
          <w:p>
            <w:r/>
          </w:p>
        </w:tc>
      </w:tr>
      <w:tr>
        <w:tc>
          <w:tcPr>
            <w:tcW w:type="dxa" w:w="1704"/>
          </w:tcPr>
          <w:p>
            <w:r>
              <w:t>Weak repeat/referral</w:t>
            </w:r>
          </w:p>
        </w:tc>
        <w:tc>
          <w:tcPr>
            <w:tcW w:type="dxa" w:w="1704"/>
          </w:tcPr>
          <w:p>
            <w:r/>
          </w:p>
        </w:tc>
        <w:tc>
          <w:tcPr>
            <w:tcW w:type="dxa" w:w="1704"/>
          </w:tcPr>
          <w:p>
            <w:r/>
          </w:p>
        </w:tc>
        <w:tc>
          <w:tcPr>
            <w:tcW w:type="dxa" w:w="1704"/>
          </w:tcPr>
          <w:p>
            <w:r/>
          </w:p>
        </w:tc>
        <w:tc>
          <w:tcPr>
            <w:tcW w:type="dxa" w:w="1704"/>
          </w:tcPr>
          <w:p>
            <w:r/>
          </w:p>
        </w:tc>
        <w:tc>
          <w:tcPr>
            <w:tcW w:type="dxa" w:w="1704"/>
          </w:tcPr>
          <w:p>
            <w:r/>
          </w:p>
        </w:tc>
      </w:tr>
      <w:tr>
        <w:tc>
          <w:tcPr>
            <w:tcW w:type="dxa" w:w="1704"/>
          </w:tcPr>
          <w:p>
            <w:r>
              <w:t>Data/KPI reliability poor</w:t>
            </w:r>
          </w:p>
        </w:tc>
        <w:tc>
          <w:tcPr>
            <w:tcW w:type="dxa" w:w="1704"/>
          </w:tcPr>
          <w:p>
            <w:r/>
          </w:p>
        </w:tc>
        <w:tc>
          <w:tcPr>
            <w:tcW w:type="dxa" w:w="1704"/>
          </w:tcPr>
          <w:p>
            <w:r/>
          </w:p>
        </w:tc>
        <w:tc>
          <w:tcPr>
            <w:tcW w:type="dxa" w:w="1704"/>
          </w:tcPr>
          <w:p>
            <w:r/>
          </w:p>
        </w:tc>
        <w:tc>
          <w:tcPr>
            <w:tcW w:type="dxa" w:w="1704"/>
          </w:tcPr>
          <w:p>
            <w:r/>
          </w:p>
        </w:tc>
        <w:tc>
          <w:tcPr>
            <w:tcW w:type="dxa" w:w="1704"/>
          </w:tcPr>
          <w:p>
            <w:r/>
          </w:p>
        </w:tc>
      </w:tr>
    </w:tbl>
    <w:p>
      <w:pPr>
        <w:pStyle w:val="Heading1"/>
      </w:pPr>
      <w:r>
        <w:t>35. Communication Rhythm</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Audience</w:t>
            </w:r>
          </w:p>
        </w:tc>
        <w:tc>
          <w:tcPr>
            <w:tcW w:type="dxa" w:w="3408"/>
          </w:tcPr>
          <w:p>
            <w:r>
              <w:t>Cadence</w:t>
            </w:r>
          </w:p>
        </w:tc>
        <w:tc>
          <w:tcPr>
            <w:tcW w:type="dxa" w:w="3408"/>
          </w:tcPr>
          <w:p>
            <w:r>
              <w:t>Content</w:t>
            </w:r>
          </w:p>
        </w:tc>
      </w:tr>
      <w:tr>
        <w:tc>
          <w:tcPr>
            <w:tcW w:type="dxa" w:w="3408"/>
          </w:tcPr>
          <w:p>
            <w:r>
              <w:t>Leadership</w:t>
            </w:r>
          </w:p>
        </w:tc>
        <w:tc>
          <w:tcPr>
            <w:tcW w:type="dxa" w:w="3408"/>
          </w:tcPr>
          <w:p>
            <w:r>
              <w:t>Weekly</w:t>
            </w:r>
          </w:p>
        </w:tc>
        <w:tc>
          <w:tcPr>
            <w:tcW w:type="dxa" w:w="3408"/>
          </w:tcPr>
          <w:p>
            <w:r>
              <w:t>KPI exceptions, decisions, blockers.</w:t>
            </w:r>
          </w:p>
        </w:tc>
      </w:tr>
      <w:tr>
        <w:tc>
          <w:tcPr>
            <w:tcW w:type="dxa" w:w="3408"/>
          </w:tcPr>
          <w:p>
            <w:r>
              <w:t>Leadership</w:t>
            </w:r>
          </w:p>
        </w:tc>
        <w:tc>
          <w:tcPr>
            <w:tcW w:type="dxa" w:w="3408"/>
          </w:tcPr>
          <w:p>
            <w:r>
              <w:t>Monthly</w:t>
            </w:r>
          </w:p>
        </w:tc>
        <w:tc>
          <w:tcPr>
            <w:tcW w:type="dxa" w:w="3408"/>
          </w:tcPr>
          <w:p>
            <w:r>
              <w:t>Full business review.</w:t>
            </w:r>
          </w:p>
        </w:tc>
      </w:tr>
      <w:tr>
        <w:tc>
          <w:tcPr>
            <w:tcW w:type="dxa" w:w="3408"/>
          </w:tcPr>
          <w:p>
            <w:r>
              <w:t>Team</w:t>
            </w:r>
          </w:p>
        </w:tc>
        <w:tc>
          <w:tcPr>
            <w:tcW w:type="dxa" w:w="3408"/>
          </w:tcPr>
          <w:p>
            <w:r>
              <w:t>Weekly</w:t>
            </w:r>
          </w:p>
        </w:tc>
        <w:tc>
          <w:tcPr>
            <w:tcW w:type="dxa" w:w="3408"/>
          </w:tcPr>
          <w:p>
            <w:r>
              <w:t>Priorities, owners, outcomes.</w:t>
            </w:r>
          </w:p>
        </w:tc>
      </w:tr>
      <w:tr>
        <w:tc>
          <w:tcPr>
            <w:tcW w:type="dxa" w:w="3408"/>
          </w:tcPr>
          <w:p>
            <w:r>
              <w:t>Operations</w:t>
            </w:r>
          </w:p>
        </w:tc>
        <w:tc>
          <w:tcPr>
            <w:tcW w:type="dxa" w:w="3408"/>
          </w:tcPr>
          <w:p>
            <w:r>
              <w:t>Daily/Weekly</w:t>
            </w:r>
          </w:p>
        </w:tc>
        <w:tc>
          <w:tcPr>
            <w:tcW w:type="dxa" w:w="3408"/>
          </w:tcPr>
          <w:p>
            <w:r>
              <w:t>Cases, capacity, exceptions.</w:t>
            </w:r>
          </w:p>
        </w:tc>
      </w:tr>
      <w:tr>
        <w:tc>
          <w:tcPr>
            <w:tcW w:type="dxa" w:w="3408"/>
          </w:tcPr>
          <w:p>
            <w:r>
              <w:t>Customers</w:t>
            </w:r>
          </w:p>
        </w:tc>
        <w:tc>
          <w:tcPr>
            <w:tcW w:type="dxa" w:w="3408"/>
          </w:tcPr>
          <w:p>
            <w:r>
              <w:t>Case-based</w:t>
            </w:r>
          </w:p>
        </w:tc>
        <w:tc>
          <w:tcPr>
            <w:tcW w:type="dxa" w:w="3408"/>
          </w:tcPr>
          <w:p>
            <w:r>
              <w:t>Status, exceptions, completion.</w:t>
            </w:r>
          </w:p>
        </w:tc>
      </w:tr>
      <w:tr>
        <w:tc>
          <w:tcPr>
            <w:tcW w:type="dxa" w:w="3408"/>
          </w:tcPr>
          <w:p>
            <w:r>
              <w:t>Partners</w:t>
            </w:r>
          </w:p>
        </w:tc>
        <w:tc>
          <w:tcPr>
            <w:tcW w:type="dxa" w:w="3408"/>
          </w:tcPr>
          <w:p>
            <w:r>
              <w:t>Monthly/quarterly</w:t>
            </w:r>
          </w:p>
        </w:tc>
        <w:tc>
          <w:tcPr>
            <w:tcW w:type="dxa" w:w="3408"/>
          </w:tcPr>
          <w:p>
            <w:r>
              <w:t>Performance, enablement, opportunities.</w:t>
            </w:r>
          </w:p>
        </w:tc>
      </w:tr>
    </w:tbl>
    <w:p>
      <w:pPr>
        <w:pStyle w:val="Heading1"/>
      </w:pPr>
      <w:r>
        <w:t>36. Year-End Outcomes</w:t>
      </w:r>
    </w:p>
    <w:p>
      <w:r>
        <w:rPr>
          <w:b w:val="0"/>
        </w:rPr>
        <w:t>By the end of the 12-month cycle, ASOJU should be able to demonstrate—not merely claim:</w:t>
      </w:r>
    </w:p>
    <w:p>
      <w:pPr>
        <w:pStyle w:val="ListBullet"/>
      </w:pPr>
      <w:r>
        <w:t>A clear and memorable brand position.</w:t>
      </w:r>
    </w:p>
    <w:p>
      <w:pPr>
        <w:pStyle w:val="ListBullet"/>
      </w:pPr>
      <w:r>
        <w:t>A defined priority customer and use-case portfolio.</w:t>
      </w:r>
    </w:p>
    <w:p>
      <w:pPr>
        <w:pStyle w:val="ListBullet"/>
      </w:pPr>
      <w:r>
        <w:t>A measurable acquisition and sales funnel.</w:t>
      </w:r>
    </w:p>
    <w:p>
      <w:pPr>
        <w:pStyle w:val="ListBullet"/>
      </w:pPr>
      <w:r>
        <w:t>A controlled operational delivery system.</w:t>
      </w:r>
    </w:p>
    <w:p>
      <w:pPr>
        <w:pStyle w:val="ListBullet"/>
      </w:pPr>
      <w:r>
        <w:t>Reliable customer communication.</w:t>
      </w:r>
    </w:p>
    <w:p>
      <w:pPr>
        <w:pStyle w:val="ListBullet"/>
      </w:pPr>
      <w:r>
        <w:t>A functioning retention/referral engine.</w:t>
      </w:r>
    </w:p>
    <w:p>
      <w:pPr>
        <w:pStyle w:val="ListBullet"/>
      </w:pPr>
      <w:r>
        <w:t>Service-level and quality visibility.</w:t>
      </w:r>
    </w:p>
    <w:p>
      <w:pPr>
        <w:pStyle w:val="ListBullet"/>
      </w:pPr>
      <w:r>
        <w:t>Use-case-level commercial economics.</w:t>
      </w:r>
    </w:p>
    <w:p>
      <w:pPr>
        <w:pStyle w:val="ListBullet"/>
      </w:pPr>
      <w:r>
        <w:t>A management dashboard with accountable owners.</w:t>
      </w:r>
    </w:p>
    <w:p>
      <w:pPr>
        <w:pStyle w:val="ListBullet"/>
      </w:pPr>
      <w:r>
        <w:t>A documented basis for the next phase of scale.</w:t>
      </w:r>
    </w:p>
    <w:p>
      <w:pPr>
        <w:pStyle w:val="Heading1"/>
      </w:pPr>
      <w:r>
        <w:t>37. Next-Year Readiness Questions</w:t>
      </w:r>
    </w:p>
    <w:p>
      <w:pPr>
        <w:pStyle w:val="ListNumber"/>
      </w:pPr>
      <w:r>
        <w:t>What should we scale?</w:t>
      </w:r>
    </w:p>
    <w:p>
      <w:pPr>
        <w:pStyle w:val="ListNumber"/>
      </w:pPr>
      <w:r>
        <w:t>What should we stop?</w:t>
      </w:r>
    </w:p>
    <w:p>
      <w:pPr>
        <w:pStyle w:val="ListNumber"/>
      </w:pPr>
      <w:r>
        <w:t>Which customer segments are strongest?</w:t>
      </w:r>
    </w:p>
    <w:p>
      <w:pPr>
        <w:pStyle w:val="ListNumber"/>
      </w:pPr>
      <w:r>
        <w:t>Which use cases are strongest?</w:t>
      </w:r>
    </w:p>
    <w:p>
      <w:pPr>
        <w:pStyle w:val="ListNumber"/>
      </w:pPr>
      <w:r>
        <w:t>Which channels are most economic?</w:t>
      </w:r>
    </w:p>
    <w:p>
      <w:pPr>
        <w:pStyle w:val="ListNumber"/>
      </w:pPr>
      <w:r>
        <w:t>Where do we need more capacity?</w:t>
      </w:r>
    </w:p>
    <w:p>
      <w:pPr>
        <w:pStyle w:val="ListNumber"/>
      </w:pPr>
      <w:r>
        <w:t>Which processes should be automated?</w:t>
      </w:r>
    </w:p>
    <w:p>
      <w:pPr>
        <w:pStyle w:val="ListNumber"/>
      </w:pPr>
      <w:r>
        <w:t>Which services should be standardized?</w:t>
      </w:r>
    </w:p>
    <w:p>
      <w:pPr>
        <w:pStyle w:val="ListNumber"/>
      </w:pPr>
      <w:r>
        <w:t>What capital or cash is required?</w:t>
      </w:r>
    </w:p>
    <w:p>
      <w:pPr>
        <w:pStyle w:val="ListNumber"/>
      </w:pPr>
      <w:r>
        <w:t>What strategic risks remain?</w:t>
      </w:r>
    </w:p>
    <w:p>
      <w:pPr>
        <w:pStyle w:val="Heading1"/>
      </w:pPr>
      <w:r>
        <w:t>38. Executive One-Page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Quarter</w:t>
            </w:r>
          </w:p>
        </w:tc>
        <w:tc>
          <w:tcPr>
            <w:tcW w:type="dxa" w:w="3408"/>
          </w:tcPr>
          <w:p>
            <w:r>
              <w:t>Primary Focus</w:t>
            </w:r>
          </w:p>
        </w:tc>
        <w:tc>
          <w:tcPr>
            <w:tcW w:type="dxa" w:w="3408"/>
          </w:tcPr>
          <w:p>
            <w:r>
              <w:t>Top 3 Outcomes</w:t>
            </w:r>
          </w:p>
        </w:tc>
      </w:tr>
      <w:tr>
        <w:tc>
          <w:tcPr>
            <w:tcW w:type="dxa" w:w="3408"/>
          </w:tcPr>
          <w:p>
            <w:r>
              <w:t>Q1</w:t>
            </w:r>
          </w:p>
        </w:tc>
        <w:tc>
          <w:tcPr>
            <w:tcW w:type="dxa" w:w="3408"/>
          </w:tcPr>
          <w:p>
            <w:r>
              <w:t>Foundation</w:t>
            </w:r>
          </w:p>
        </w:tc>
        <w:tc>
          <w:tcPr>
            <w:tcW w:type="dxa" w:w="3408"/>
          </w:tcPr>
          <w:p>
            <w:r>
              <w:t>1. Clear positioning  2. Service readiness  3. KPI baseline</w:t>
            </w:r>
          </w:p>
        </w:tc>
      </w:tr>
      <w:tr>
        <w:tc>
          <w:tcPr>
            <w:tcW w:type="dxa" w:w="3408"/>
          </w:tcPr>
          <w:p>
            <w:r>
              <w:t>Q2</w:t>
            </w:r>
          </w:p>
        </w:tc>
        <w:tc>
          <w:tcPr>
            <w:tcW w:type="dxa" w:w="3408"/>
          </w:tcPr>
          <w:p>
            <w:r>
              <w:t>Prove</w:t>
            </w:r>
          </w:p>
        </w:tc>
        <w:tc>
          <w:tcPr>
            <w:tcW w:type="dxa" w:w="3408"/>
          </w:tcPr>
          <w:p>
            <w:r>
              <w:t>1. Customer traction  2. Sales/ops repeatability  3. First-50 economics</w:t>
            </w:r>
          </w:p>
        </w:tc>
      </w:tr>
      <w:tr>
        <w:tc>
          <w:tcPr>
            <w:tcW w:type="dxa" w:w="3408"/>
          </w:tcPr>
          <w:p>
            <w:r>
              <w:t>Q3</w:t>
            </w:r>
          </w:p>
        </w:tc>
        <w:tc>
          <w:tcPr>
            <w:tcW w:type="dxa" w:w="3408"/>
          </w:tcPr>
          <w:p>
            <w:r>
              <w:t>Repeat</w:t>
            </w:r>
          </w:p>
        </w:tc>
        <w:tc>
          <w:tcPr>
            <w:tcW w:type="dxa" w:w="3408"/>
          </w:tcPr>
          <w:p>
            <w:r>
              <w:t>1. Retention  2. Referral  3. Unit economics</w:t>
            </w:r>
          </w:p>
        </w:tc>
      </w:tr>
      <w:tr>
        <w:tc>
          <w:tcPr>
            <w:tcW w:type="dxa" w:w="3408"/>
          </w:tcPr>
          <w:p>
            <w:r>
              <w:t>Q4</w:t>
            </w:r>
          </w:p>
        </w:tc>
        <w:tc>
          <w:tcPr>
            <w:tcW w:type="dxa" w:w="3408"/>
          </w:tcPr>
          <w:p>
            <w:r>
              <w:t>Scale</w:t>
            </w:r>
          </w:p>
        </w:tc>
        <w:tc>
          <w:tcPr>
            <w:tcW w:type="dxa" w:w="3408"/>
          </w:tcPr>
          <w:p>
            <w:r>
              <w:t>1. Controlled expansion  2. Management maturity  3. Next-year plan</w:t>
            </w:r>
          </w:p>
        </w:tc>
      </w:tr>
    </w:tbl>
    <w:p>
      <w:pPr>
        <w:pStyle w:val="Heading1"/>
      </w:pPr>
      <w:r>
        <w:t>39. Management Checklist</w:t>
      </w:r>
    </w:p>
    <w:p>
      <w:pPr>
        <w:pStyle w:val="ListBullet"/>
      </w:pPr>
      <w:r>
        <w:t>Do we know what matters this week?</w:t>
      </w:r>
    </w:p>
    <w:p>
      <w:pPr>
        <w:pStyle w:val="ListBullet"/>
      </w:pPr>
      <w:r>
        <w:t>Does every priority have an owner?</w:t>
      </w:r>
    </w:p>
    <w:p>
      <w:pPr>
        <w:pStyle w:val="ListBullet"/>
      </w:pPr>
      <w:r>
        <w:t>Are we protecting customer trust?</w:t>
      </w:r>
    </w:p>
    <w:p>
      <w:pPr>
        <w:pStyle w:val="ListBullet"/>
      </w:pPr>
      <w:r>
        <w:t>Are we selling what Operations can deliver?</w:t>
      </w:r>
    </w:p>
    <w:p>
      <w:pPr>
        <w:pStyle w:val="ListBullet"/>
      </w:pPr>
      <w:r>
        <w:t>Are we monitoring capacity?</w:t>
      </w:r>
    </w:p>
    <w:p>
      <w:pPr>
        <w:pStyle w:val="ListBullet"/>
      </w:pPr>
      <w:r>
        <w:t>Are we measuring actual economics?</w:t>
      </w:r>
    </w:p>
    <w:p>
      <w:pPr>
        <w:pStyle w:val="ListBullet"/>
      </w:pPr>
      <w:r>
        <w:t>Are we learning from customers?</w:t>
      </w:r>
    </w:p>
    <w:p>
      <w:pPr>
        <w:pStyle w:val="ListBullet"/>
      </w:pPr>
      <w:r>
        <w:t>Are we closing actions?</w:t>
      </w:r>
    </w:p>
    <w:p>
      <w:pPr>
        <w:pStyle w:val="ListBullet"/>
      </w:pPr>
      <w:r>
        <w:t>Are we making explicit scale/stop decisions?</w:t>
      </w:r>
    </w:p>
    <w:p>
      <w:pPr>
        <w:pStyle w:val="Heading1"/>
      </w:pPr>
      <w:r>
        <w:t>40. Strategic Execution Principle</w:t>
      </w:r>
    </w:p>
    <w:p>
      <w:r>
        <w:rPr>
          <w:b/>
        </w:rPr>
        <w:t>The objective of the first 12 months is not to make ASOJU look big. It is to make ASOJU reliably good at the things that matter, prove the economics, earn customer trust and build the machinery required for controlled scale.</w:t>
      </w:r>
    </w:p>
    <w:p>
      <w:r>
        <w:rPr>
          <w:b w:val="0"/>
        </w:rPr>
        <w:t>The sequence is:</w:t>
      </w:r>
    </w:p>
    <w:p>
      <w:r>
        <w:rPr>
          <w:b/>
        </w:rPr>
        <w:t>CLARIFY → BUILD → PILOT → PROVE → STANDARDIZE → RETAIN → OPTIMIZE → SCALE</w:t>
      </w:r>
    </w:p>
    <w:p>
      <w:r>
        <w:rPr>
          <w:b/>
        </w:rPr>
        <w:t>ASOJU — Your Trusted Rep Back Home.</w:t>
      </w:r>
    </w:p>
    <w:p>
      <w:pPr>
        <w:pStyle w:val="Heading1"/>
      </w:pPr>
      <w:r>
        <w:t>41. Governance</w:t>
      </w:r>
    </w:p>
    <w:p>
      <w:r>
        <w:rPr>
          <w:b w:val="0"/>
        </w:rPr>
        <w:t>Document owner: ASOJU Leadership / Strategy / PMO.</w:t>
      </w:r>
    </w:p>
    <w:p>
      <w:r>
        <w:rPr>
          <w:b w:val="0"/>
        </w:rPr>
        <w:t>Version: 1.0 | From Strategy to Repeatable Execution.</w:t>
      </w:r>
    </w:p>
    <w:p>
      <w:r>
        <w:rPr>
          <w:b w:val="0"/>
        </w:rPr>
        <w:t>Use alongside the ASOJU Brand Strategy &amp; Positioning, Marketing KPI &amp; Measurement Framework, Sales &amp; Conversion Playbook, Customer Retention &amp; Lifecycle Playbook, Operations Capacity, Quality &amp; SLA Playbook, Financial Model, Unit Economics &amp; Pricing Playbook, Management Dashboard &amp; KPI Operating System, Partnership &amp; Diaspora Community Strategy and the broader P0 operating library.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