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BRAND IDENTITY</w:t>
        <w:br/>
        <w:t>GUIDELINES</w:t>
      </w:r>
    </w:p>
    <w:p>
      <w:pPr>
        <w:jc w:val="center"/>
      </w:pPr>
      <w:r>
        <w:rPr>
          <w:b/>
        </w:rPr>
        <w:t>Version 1.0 | Visual Identity Foundation</w:t>
      </w:r>
    </w:p>
    <w:p>
      <w:r>
        <w:rPr>
          <w:b w:val="0"/>
        </w:rPr>
        <w:t>Brand: ASOJU</w:t>
      </w:r>
    </w:p>
    <w:p>
      <w:r>
        <w:rPr>
          <w:b w:val="0"/>
        </w:rPr>
        <w:t>Primary tagline: Your Trusted Rep Back Home.</w:t>
      </w:r>
    </w:p>
    <w:p>
      <w:r>
        <w:rPr>
          <w:b w:val="0"/>
        </w:rPr>
        <w:t>Brand territory: Representation from a distance.</w:t>
      </w:r>
    </w:p>
    <w:p>
      <w:r>
        <w:rPr>
          <w:b w:val="0"/>
        </w:rPr>
        <w:t>Purpose: establish a consistent visual identity system for ASOJU across digital products, marketing, customer communications, partnerships and future physical applications.</w:t>
      </w:r>
    </w:p>
    <w:p>
      <w:pPr>
        <w:pStyle w:val="Heading1"/>
      </w:pPr>
      <w:r>
        <w:t>1. Brand Identity North Star</w:t>
      </w:r>
    </w:p>
    <w:p>
      <w:r>
        <w:rPr>
          <w:b/>
        </w:rPr>
        <w:t>The visual identity should make ASOJU feel trustworthy, capable, human, modern and calm.</w:t>
      </w:r>
    </w:p>
    <w:p>
      <w:r>
        <w:rPr>
          <w:b w:val="0"/>
        </w:rPr>
        <w:t>The visual system should communicate representation and connection without relying on generic symbols such as handshakes, generic location pins or overly literal service icons.</w:t>
      </w:r>
    </w:p>
    <w:p>
      <w:pPr>
        <w:pStyle w:val="Heading1"/>
      </w:pPr>
      <w:r>
        <w:t>2. Strategic Brand Translation</w:t>
      </w:r>
    </w:p>
    <w:tbl>
      <w:tblPr>
        <w:tblStyle w:val="TableGrid"/>
        <w:tblW w:type="auto" w:w="0"/>
        <w:jc w:val="center"/>
        <w:tblLook w:firstColumn="1" w:firstRow="1" w:lastColumn="0" w:lastRow="0" w:noHBand="0" w:noVBand="1" w:val="04A0"/>
      </w:tblPr>
      <w:tblGrid>
        <w:gridCol w:w="5112"/>
        <w:gridCol w:w="5112"/>
      </w:tblGrid>
      <w:tr>
        <w:tc>
          <w:tcPr>
            <w:tcW w:type="dxa" w:w="5112"/>
          </w:tcPr>
          <w:p>
            <w:r>
              <w:t>Brand Strategy</w:t>
            </w:r>
          </w:p>
        </w:tc>
        <w:tc>
          <w:tcPr>
            <w:tcW w:type="dxa" w:w="5112"/>
          </w:tcPr>
          <w:p>
            <w:r>
              <w:t>Visual Translation</w:t>
            </w:r>
          </w:p>
        </w:tc>
      </w:tr>
      <w:tr>
        <w:tc>
          <w:tcPr>
            <w:tcW w:type="dxa" w:w="5112"/>
          </w:tcPr>
          <w:p>
            <w:r>
              <w:t>Trusted</w:t>
            </w:r>
          </w:p>
        </w:tc>
        <w:tc>
          <w:tcPr>
            <w:tcW w:type="dxa" w:w="5112"/>
          </w:tcPr>
          <w:p>
            <w:r>
              <w:t>Stable, confident typography and disciplined layouts.</w:t>
            </w:r>
          </w:p>
        </w:tc>
      </w:tr>
      <w:tr>
        <w:tc>
          <w:tcPr>
            <w:tcW w:type="dxa" w:w="5112"/>
          </w:tcPr>
          <w:p>
            <w:r>
              <w:t>Representation</w:t>
            </w:r>
          </w:p>
        </w:tc>
        <w:tc>
          <w:tcPr>
            <w:tcW w:type="dxa" w:w="5112"/>
          </w:tcPr>
          <w:p>
            <w:r>
              <w:t>A visual language of connection, presence and a trusted extension.</w:t>
            </w:r>
          </w:p>
        </w:tc>
      </w:tr>
      <w:tr>
        <w:tc>
          <w:tcPr>
            <w:tcW w:type="dxa" w:w="5112"/>
          </w:tcPr>
          <w:p>
            <w:r>
              <w:t>Back Home</w:t>
            </w:r>
          </w:p>
        </w:tc>
        <w:tc>
          <w:tcPr>
            <w:tcW w:type="dxa" w:w="5112"/>
          </w:tcPr>
          <w:p>
            <w:r>
              <w:t>Subtle connection to Nigeria/home without stereotypes.</w:t>
            </w:r>
          </w:p>
        </w:tc>
      </w:tr>
      <w:tr>
        <w:tc>
          <w:tcPr>
            <w:tcW w:type="dxa" w:w="5112"/>
          </w:tcPr>
          <w:p>
            <w:r>
              <w:t>Support</w:t>
            </w:r>
          </w:p>
        </w:tc>
        <w:tc>
          <w:tcPr>
            <w:tcW w:type="dxa" w:w="5112"/>
          </w:tcPr>
          <w:p>
            <w:r>
              <w:t>Human, approachable imagery and clear information hierarchy.</w:t>
            </w:r>
          </w:p>
        </w:tc>
      </w:tr>
      <w:tr>
        <w:tc>
          <w:tcPr>
            <w:tcW w:type="dxa" w:w="5112"/>
          </w:tcPr>
          <w:p>
            <w:r>
              <w:t>Evidence</w:t>
            </w:r>
          </w:p>
        </w:tc>
        <w:tc>
          <w:tcPr>
            <w:tcW w:type="dxa" w:w="5112"/>
          </w:tcPr>
          <w:p>
            <w:r>
              <w:t>Structured layouts, documentation-like clarity and visible proof.</w:t>
            </w:r>
          </w:p>
        </w:tc>
      </w:tr>
      <w:tr>
        <w:tc>
          <w:tcPr>
            <w:tcW w:type="dxa" w:w="5112"/>
          </w:tcPr>
          <w:p>
            <w:r>
              <w:t>Peace of mind</w:t>
            </w:r>
          </w:p>
        </w:tc>
        <w:tc>
          <w:tcPr>
            <w:tcW w:type="dxa" w:w="5112"/>
          </w:tcPr>
          <w:p>
            <w:r>
              <w:t>Calm visual rhythm, whitespace and low visual noise.</w:t>
            </w:r>
          </w:p>
        </w:tc>
      </w:tr>
      <w:tr>
        <w:tc>
          <w:tcPr>
            <w:tcW w:type="dxa" w:w="5112"/>
          </w:tcPr>
          <w:p>
            <w:r>
              <w:t>Modern platform</w:t>
            </w:r>
          </w:p>
        </w:tc>
        <w:tc>
          <w:tcPr>
            <w:tcW w:type="dxa" w:w="5112"/>
          </w:tcPr>
          <w:p>
            <w:r>
              <w:t>Digital-first system that scales across product and marketing.</w:t>
            </w:r>
          </w:p>
        </w:tc>
      </w:tr>
    </w:tbl>
    <w:p>
      <w:pPr>
        <w:pStyle w:val="Heading1"/>
      </w:pPr>
      <w:r>
        <w:t>3. Logo System</w:t>
      </w:r>
    </w:p>
    <w:p>
      <w:r>
        <w:rPr>
          <w:b w:val="0"/>
        </w:rPr>
        <w:t>The ASOJU logo is the primary identifier and must remain visually consistent across every customer touchpoint.</w:t>
      </w:r>
    </w:p>
    <w:p>
      <w:r>
        <w:rPr>
          <w:b/>
        </w:rPr>
        <w:t>The approved logo direction from the brand development process should be treated as the master mark. The current conceptual direction includes an arc and ball element, with the arc positioned to avoid an unintended eye-like reading.</w:t>
      </w:r>
    </w:p>
    <w:p>
      <w:r>
        <w:rPr>
          <w:b w:val="0"/>
        </w:rPr>
        <w:t>The visual principle is movement, connection and representation—not a handshake.</w:t>
      </w:r>
    </w:p>
    <w:p>
      <w:r>
        <w:rPr>
          <w:b w:val="0"/>
        </w:rPr>
        <w:t>Final production artwork, vector geometry, exact spacing and color specifications should be taken from the approved master logo artwork when locked.</w:t>
      </w:r>
    </w:p>
    <w:p>
      <w:pPr>
        <w:pStyle w:val="Heading1"/>
      </w:pPr>
      <w:r>
        <w:t>4. Logo Conceptual Meaning</w:t>
      </w:r>
    </w:p>
    <w:p>
      <w:r>
        <w:rPr>
          <w:b w:val="0"/>
        </w:rPr>
        <w:t>Recommended interpretation of the mark:</w:t>
      </w:r>
    </w:p>
    <w:p>
      <w:pPr>
        <w:pStyle w:val="ListBullet"/>
      </w:pPr>
      <w:r>
        <w:t>The arc represents a protective/connecting presence.</w:t>
      </w:r>
    </w:p>
    <w:p>
      <w:pPr>
        <w:pStyle w:val="ListBullet"/>
      </w:pPr>
      <w:r>
        <w:t>The ball represents the person, responsibility or matter being represented.</w:t>
      </w:r>
    </w:p>
    <w:p>
      <w:pPr>
        <w:pStyle w:val="ListBullet"/>
      </w:pPr>
      <w:r>
        <w:t>The relationship between the two suggests support, connection and movement across distance.</w:t>
      </w:r>
    </w:p>
    <w:p>
      <w:pPr>
        <w:pStyle w:val="ListBullet"/>
      </w:pPr>
      <w:r>
        <w:t>The mark should feel abstract enough to become ownable rather than literally depicting an errand or transaction.</w:t>
      </w:r>
    </w:p>
    <w:p>
      <w:r>
        <w:rPr>
          <w:b w:val="0"/>
        </w:rPr>
        <w:t>The logo should not require the audience to understand the symbolism immediately. Recognition should come through repeated use.</w:t>
      </w:r>
    </w:p>
    <w:p>
      <w:pPr>
        <w:pStyle w:val="Heading1"/>
      </w:pPr>
      <w:r>
        <w:t>5. Logo Variants</w:t>
      </w:r>
    </w:p>
    <w:tbl>
      <w:tblPr>
        <w:tblStyle w:val="TableGrid"/>
        <w:tblW w:type="auto" w:w="0"/>
        <w:jc w:val="center"/>
        <w:tblLook w:firstColumn="1" w:firstRow="1" w:lastColumn="0" w:lastRow="0" w:noHBand="0" w:noVBand="1" w:val="04A0"/>
      </w:tblPr>
      <w:tblGrid>
        <w:gridCol w:w="5112"/>
        <w:gridCol w:w="5112"/>
      </w:tblGrid>
      <w:tr>
        <w:tc>
          <w:tcPr>
            <w:tcW w:type="dxa" w:w="5112"/>
          </w:tcPr>
          <w:p>
            <w:r>
              <w:t>Variant</w:t>
            </w:r>
          </w:p>
        </w:tc>
        <w:tc>
          <w:tcPr>
            <w:tcW w:type="dxa" w:w="5112"/>
          </w:tcPr>
          <w:p>
            <w:r>
              <w:t>Use</w:t>
            </w:r>
          </w:p>
        </w:tc>
      </w:tr>
      <w:tr>
        <w:tc>
          <w:tcPr>
            <w:tcW w:type="dxa" w:w="5112"/>
          </w:tcPr>
          <w:p>
            <w:r>
              <w:t>Primary horizontal lockup</w:t>
            </w:r>
          </w:p>
        </w:tc>
        <w:tc>
          <w:tcPr>
            <w:tcW w:type="dxa" w:w="5112"/>
          </w:tcPr>
          <w:p>
            <w:r>
              <w:t>Website header, presentations, documents and broad marketing.</w:t>
            </w:r>
          </w:p>
        </w:tc>
      </w:tr>
      <w:tr>
        <w:tc>
          <w:tcPr>
            <w:tcW w:type="dxa" w:w="5112"/>
          </w:tcPr>
          <w:p>
            <w:r>
              <w:t>Stacked/compact lockup</w:t>
            </w:r>
          </w:p>
        </w:tc>
        <w:tc>
          <w:tcPr>
            <w:tcW w:type="dxa" w:w="5112"/>
          </w:tcPr>
          <w:p>
            <w:r>
              <w:t>Square or constrained digital placements.</w:t>
            </w:r>
          </w:p>
        </w:tc>
      </w:tr>
      <w:tr>
        <w:tc>
          <w:tcPr>
            <w:tcW w:type="dxa" w:w="5112"/>
          </w:tcPr>
          <w:p>
            <w:r>
              <w:t>Symbol/mark only</w:t>
            </w:r>
          </w:p>
        </w:tc>
        <w:tc>
          <w:tcPr>
            <w:tcW w:type="dxa" w:w="5112"/>
          </w:tcPr>
          <w:p>
            <w:r>
              <w:t>App icon, favicon, social avatar and small-format applications.</w:t>
            </w:r>
          </w:p>
        </w:tc>
      </w:tr>
      <w:tr>
        <w:tc>
          <w:tcPr>
            <w:tcW w:type="dxa" w:w="5112"/>
          </w:tcPr>
          <w:p>
            <w:r>
              <w:t>Monochrome</w:t>
            </w:r>
          </w:p>
        </w:tc>
        <w:tc>
          <w:tcPr>
            <w:tcW w:type="dxa" w:w="5112"/>
          </w:tcPr>
          <w:p>
            <w:r>
              <w:t>Situations where full-color reproduction is unavailable.</w:t>
            </w:r>
          </w:p>
        </w:tc>
      </w:tr>
      <w:tr>
        <w:tc>
          <w:tcPr>
            <w:tcW w:type="dxa" w:w="5112"/>
          </w:tcPr>
          <w:p>
            <w:r>
              <w:t>Reversed</w:t>
            </w:r>
          </w:p>
        </w:tc>
        <w:tc>
          <w:tcPr>
            <w:tcW w:type="dxa" w:w="5112"/>
          </w:tcPr>
          <w:p>
            <w:r>
              <w:t>Dark backgrounds where approved contrast is maintained.</w:t>
            </w:r>
          </w:p>
        </w:tc>
      </w:tr>
    </w:tbl>
    <w:p>
      <w:pPr>
        <w:pStyle w:val="Heading1"/>
      </w:pPr>
      <w:r>
        <w:t>6. Logo Clear Space</w:t>
      </w:r>
    </w:p>
    <w:p>
      <w:r>
        <w:rPr>
          <w:b w:val="0"/>
        </w:rPr>
        <w:t>Maintain a consistent protected area around the logo. No text, photography, interface controls or other marks should visually crowd the logo.</w:t>
      </w:r>
    </w:p>
    <w:p>
      <w:r>
        <w:rPr>
          <w:b w:val="0"/>
        </w:rPr>
        <w:t>Until the final vector artwork is locked, use the height of the core logo symbol as the reference unit for defining clear space in production artwork.</w:t>
      </w:r>
    </w:p>
    <w:p>
      <w:pPr>
        <w:pStyle w:val="Heading1"/>
      </w:pPr>
      <w:r>
        <w:t>7. Logo Minimum Size</w:t>
      </w:r>
    </w:p>
    <w:p>
      <w:r>
        <w:rPr>
          <w:b w:val="0"/>
        </w:rPr>
        <w:t>The logo must remain legible at small sizes. The symbol-only mark may be used when the full wordmark would become unreadable.</w:t>
      </w:r>
    </w:p>
    <w:p>
      <w:r>
        <w:rPr>
          <w:b w:val="0"/>
        </w:rPr>
        <w:t>Final minimum pixel/mm specifications should be established from the production vector master rather than guessed from a concept image.</w:t>
      </w:r>
    </w:p>
    <w:p>
      <w:pPr>
        <w:pStyle w:val="Heading1"/>
      </w:pPr>
      <w:r>
        <w:t>8. Logo Don'ts</w:t>
      </w:r>
    </w:p>
    <w:p>
      <w:pPr>
        <w:pStyle w:val="ListBullet"/>
      </w:pPr>
      <w:r>
        <w:t>Do not recreate or redraw the logo manually.</w:t>
      </w:r>
    </w:p>
    <w:p>
      <w:pPr>
        <w:pStyle w:val="ListBullet"/>
      </w:pPr>
      <w:r>
        <w:t>Do not stretch or compress the mark.</w:t>
      </w:r>
    </w:p>
    <w:p>
      <w:pPr>
        <w:pStyle w:val="ListBullet"/>
      </w:pPr>
      <w:r>
        <w:t>Do not rotate the mark.</w:t>
      </w:r>
    </w:p>
    <w:p>
      <w:pPr>
        <w:pStyle w:val="ListBullet"/>
      </w:pPr>
      <w:r>
        <w:t>Do not add shadows, bevels, outlines or decorative effects.</w:t>
      </w:r>
    </w:p>
    <w:p>
      <w:pPr>
        <w:pStyle w:val="ListBullet"/>
      </w:pPr>
      <w:r>
        <w:t>Do not change the approved proportions.</w:t>
      </w:r>
    </w:p>
    <w:p>
      <w:pPr>
        <w:pStyle w:val="ListBullet"/>
      </w:pPr>
      <w:r>
        <w:t>Do not place the mark on visually noisy backgrounds without a suitable treatment.</w:t>
      </w:r>
    </w:p>
    <w:p>
      <w:pPr>
        <w:pStyle w:val="ListBullet"/>
      </w:pPr>
      <w:r>
        <w:t>Do not combine the logo with unrelated icons to create improvised versions.</w:t>
      </w:r>
    </w:p>
    <w:p>
      <w:pPr>
        <w:pStyle w:val="ListBullet"/>
      </w:pPr>
      <w:r>
        <w:t>Do not return to the handshake concept unless the brand strategy is deliberately reconsidered.</w:t>
      </w:r>
    </w:p>
    <w:p>
      <w:pPr>
        <w:pStyle w:val="Heading1"/>
      </w:pPr>
      <w:r>
        <w:t>9. Color Strategy</w:t>
      </w:r>
    </w:p>
    <w:p>
      <w:r>
        <w:rPr>
          <w:b w:val="0"/>
        </w:rPr>
        <w:t>The color system should communicate trust, modernity, warmth and confidence without becoming visually generic.</w:t>
      </w:r>
    </w:p>
    <w:p>
      <w:r>
        <w:rPr>
          <w:b/>
        </w:rPr>
        <w:t>Because the exact approved logo color values were not specified in the current brand strategy source, this v1.0 document defines the color architecture rather than inventing final HEX/RGB values.</w:t>
      </w:r>
    </w:p>
    <w:tbl>
      <w:tblPr>
        <w:tblStyle w:val="TableGrid"/>
        <w:tblW w:type="auto" w:w="0"/>
        <w:jc w:val="center"/>
        <w:tblLook w:firstColumn="1" w:firstRow="1" w:lastColumn="0" w:lastRow="0" w:noHBand="0" w:noVBand="1" w:val="04A0"/>
      </w:tblPr>
      <w:tblGrid>
        <w:gridCol w:w="5112"/>
        <w:gridCol w:w="5112"/>
      </w:tblGrid>
      <w:tr>
        <w:tc>
          <w:tcPr>
            <w:tcW w:type="dxa" w:w="5112"/>
          </w:tcPr>
          <w:p>
            <w:r>
              <w:t>Color Role</w:t>
            </w:r>
          </w:p>
        </w:tc>
        <w:tc>
          <w:tcPr>
            <w:tcW w:type="dxa" w:w="5112"/>
          </w:tcPr>
          <w:p>
            <w:r>
              <w:t>Purpose</w:t>
            </w:r>
          </w:p>
        </w:tc>
      </w:tr>
      <w:tr>
        <w:tc>
          <w:tcPr>
            <w:tcW w:type="dxa" w:w="5112"/>
          </w:tcPr>
          <w:p>
            <w:r>
              <w:t>Primary brand color</w:t>
            </w:r>
          </w:p>
        </w:tc>
        <w:tc>
          <w:tcPr>
            <w:tcW w:type="dxa" w:w="5112"/>
          </w:tcPr>
          <w:p>
            <w:r>
              <w:t>Recognition, primary actions, key brand surfaces.</w:t>
            </w:r>
          </w:p>
        </w:tc>
      </w:tr>
      <w:tr>
        <w:tc>
          <w:tcPr>
            <w:tcW w:type="dxa" w:w="5112"/>
          </w:tcPr>
          <w:p>
            <w:r>
              <w:t>Secondary brand color</w:t>
            </w:r>
          </w:p>
        </w:tc>
        <w:tc>
          <w:tcPr>
            <w:tcW w:type="dxa" w:w="5112"/>
          </w:tcPr>
          <w:p>
            <w:r>
              <w:t>Supporting visual identity and campaign variation.</w:t>
            </w:r>
          </w:p>
        </w:tc>
      </w:tr>
      <w:tr>
        <w:tc>
          <w:tcPr>
            <w:tcW w:type="dxa" w:w="5112"/>
          </w:tcPr>
          <w:p>
            <w:r>
              <w:t>Neutral dark</w:t>
            </w:r>
          </w:p>
        </w:tc>
        <w:tc>
          <w:tcPr>
            <w:tcW w:type="dxa" w:w="5112"/>
          </w:tcPr>
          <w:p>
            <w:r>
              <w:t>Primary text, navigation, formal documents.</w:t>
            </w:r>
          </w:p>
        </w:tc>
      </w:tr>
      <w:tr>
        <w:tc>
          <w:tcPr>
            <w:tcW w:type="dxa" w:w="5112"/>
          </w:tcPr>
          <w:p>
            <w:r>
              <w:t>Neutral light</w:t>
            </w:r>
          </w:p>
        </w:tc>
        <w:tc>
          <w:tcPr>
            <w:tcW w:type="dxa" w:w="5112"/>
          </w:tcPr>
          <w:p>
            <w:r>
              <w:t>Backgrounds, cards, whitespace.</w:t>
            </w:r>
          </w:p>
        </w:tc>
      </w:tr>
      <w:tr>
        <w:tc>
          <w:tcPr>
            <w:tcW w:type="dxa" w:w="5112"/>
          </w:tcPr>
          <w:p>
            <w:r>
              <w:t>Success</w:t>
            </w:r>
          </w:p>
        </w:tc>
        <w:tc>
          <w:tcPr>
            <w:tcW w:type="dxa" w:w="5112"/>
          </w:tcPr>
          <w:p>
            <w:r>
              <w:t>Positive completion/verification states.</w:t>
            </w:r>
          </w:p>
        </w:tc>
      </w:tr>
      <w:tr>
        <w:tc>
          <w:tcPr>
            <w:tcW w:type="dxa" w:w="5112"/>
          </w:tcPr>
          <w:p>
            <w:r>
              <w:t>Warning</w:t>
            </w:r>
          </w:p>
        </w:tc>
        <w:tc>
          <w:tcPr>
            <w:tcW w:type="dxa" w:w="5112"/>
          </w:tcPr>
          <w:p>
            <w:r>
              <w:t>Attention and pending states.</w:t>
            </w:r>
          </w:p>
        </w:tc>
      </w:tr>
      <w:tr>
        <w:tc>
          <w:tcPr>
            <w:tcW w:type="dxa" w:w="5112"/>
          </w:tcPr>
          <w:p>
            <w:r>
              <w:t>Critical</w:t>
            </w:r>
          </w:p>
        </w:tc>
        <w:tc>
          <w:tcPr>
            <w:tcW w:type="dxa" w:w="5112"/>
          </w:tcPr>
          <w:p>
            <w:r>
              <w:t>Errors, incidents and urgent states.</w:t>
            </w:r>
          </w:p>
        </w:tc>
      </w:tr>
    </w:tbl>
    <w:p>
      <w:r>
        <w:rPr>
          <w:b w:val="0"/>
        </w:rPr>
        <w:t>Final production color values should be locked in the master visual design file and then copied consistently into product and marketing design tokens.</w:t>
      </w:r>
    </w:p>
    <w:p>
      <w:pPr>
        <w:pStyle w:val="Heading1"/>
      </w:pPr>
      <w:r>
        <w:t>10. Color Usage Principles</w:t>
      </w:r>
    </w:p>
    <w:p>
      <w:pPr>
        <w:pStyle w:val="ListBullet"/>
      </w:pPr>
      <w:r>
        <w:t>Use the primary brand color consistently enough to build recognition.</w:t>
      </w:r>
    </w:p>
    <w:p>
      <w:pPr>
        <w:pStyle w:val="ListBullet"/>
      </w:pPr>
      <w:r>
        <w:t>Do not fill every surface with brand color.</w:t>
      </w:r>
    </w:p>
    <w:p>
      <w:pPr>
        <w:pStyle w:val="ListBullet"/>
      </w:pPr>
      <w:r>
        <w:t>Use neutral space to create calm and premium perception.</w:t>
      </w:r>
    </w:p>
    <w:p>
      <w:pPr>
        <w:pStyle w:val="ListBullet"/>
      </w:pPr>
      <w:r>
        <w:t>Reserve status colors for functional meaning.</w:t>
      </w:r>
    </w:p>
    <w:p>
      <w:pPr>
        <w:pStyle w:val="ListBullet"/>
      </w:pPr>
      <w:r>
        <w:t>Ensure accessible contrast for text and controls.</w:t>
      </w:r>
    </w:p>
    <w:p>
      <w:pPr>
        <w:pStyle w:val="ListBullet"/>
      </w:pPr>
      <w:r>
        <w:t>Keep photography and campaign colors compatible with the master palette.</w:t>
      </w:r>
    </w:p>
    <w:p>
      <w:pPr>
        <w:pStyle w:val="Heading1"/>
      </w:pPr>
      <w:r>
        <w:t>11. Typography Strategy</w:t>
      </w:r>
    </w:p>
    <w:p>
      <w:r>
        <w:rPr>
          <w:b w:val="0"/>
        </w:rPr>
        <w:t>Typography should feel contemporary, highly legible and confident. The system must work across website, product UI, documents and marketing.</w:t>
      </w:r>
    </w:p>
    <w:tbl>
      <w:tblPr>
        <w:tblStyle w:val="TableGrid"/>
        <w:tblW w:type="auto" w:w="0"/>
        <w:jc w:val="center"/>
        <w:tblLook w:firstColumn="1" w:firstRow="1" w:lastColumn="0" w:lastRow="0" w:noHBand="0" w:noVBand="1" w:val="04A0"/>
      </w:tblPr>
      <w:tblGrid>
        <w:gridCol w:w="5112"/>
        <w:gridCol w:w="5112"/>
      </w:tblGrid>
      <w:tr>
        <w:tc>
          <w:tcPr>
            <w:tcW w:type="dxa" w:w="5112"/>
          </w:tcPr>
          <w:p>
            <w:r>
              <w:t>Level</w:t>
            </w:r>
          </w:p>
        </w:tc>
        <w:tc>
          <w:tcPr>
            <w:tcW w:type="dxa" w:w="5112"/>
          </w:tcPr>
          <w:p>
            <w:r>
              <w:t>Guidance</w:t>
            </w:r>
          </w:p>
        </w:tc>
      </w:tr>
      <w:tr>
        <w:tc>
          <w:tcPr>
            <w:tcW w:type="dxa" w:w="5112"/>
          </w:tcPr>
          <w:p>
            <w:r>
              <w:t>Display/Hero</w:t>
            </w:r>
          </w:p>
        </w:tc>
        <w:tc>
          <w:tcPr>
            <w:tcW w:type="dxa" w:w="5112"/>
          </w:tcPr>
          <w:p>
            <w:r>
              <w:t>Strong, simple, high-impact typography.</w:t>
            </w:r>
          </w:p>
        </w:tc>
      </w:tr>
      <w:tr>
        <w:tc>
          <w:tcPr>
            <w:tcW w:type="dxa" w:w="5112"/>
          </w:tcPr>
          <w:p>
            <w:r>
              <w:t>Headline</w:t>
            </w:r>
          </w:p>
        </w:tc>
        <w:tc>
          <w:tcPr>
            <w:tcW w:type="dxa" w:w="5112"/>
          </w:tcPr>
          <w:p>
            <w:r>
              <w:t>Clear hierarchy; avoid decorative type.</w:t>
            </w:r>
          </w:p>
        </w:tc>
      </w:tr>
      <w:tr>
        <w:tc>
          <w:tcPr>
            <w:tcW w:type="dxa" w:w="5112"/>
          </w:tcPr>
          <w:p>
            <w:r>
              <w:t>Body</w:t>
            </w:r>
          </w:p>
        </w:tc>
        <w:tc>
          <w:tcPr>
            <w:tcW w:type="dxa" w:w="5112"/>
          </w:tcPr>
          <w:p>
            <w:r>
              <w:t>Highly readable at mobile and desktop sizes.</w:t>
            </w:r>
          </w:p>
        </w:tc>
      </w:tr>
      <w:tr>
        <w:tc>
          <w:tcPr>
            <w:tcW w:type="dxa" w:w="5112"/>
          </w:tcPr>
          <w:p>
            <w:r>
              <w:t>UI</w:t>
            </w:r>
          </w:p>
        </w:tc>
        <w:tc>
          <w:tcPr>
            <w:tcW w:type="dxa" w:w="5112"/>
          </w:tcPr>
          <w:p>
            <w:r>
              <w:t>Compact but accessible.</w:t>
            </w:r>
          </w:p>
        </w:tc>
      </w:tr>
      <w:tr>
        <w:tc>
          <w:tcPr>
            <w:tcW w:type="dxa" w:w="5112"/>
          </w:tcPr>
          <w:p>
            <w:r>
              <w:t>Data</w:t>
            </w:r>
          </w:p>
        </w:tc>
        <w:tc>
          <w:tcPr>
            <w:tcW w:type="dxa" w:w="5112"/>
          </w:tcPr>
          <w:p>
            <w:r>
              <w:t>Numerals and labels must remain clear in dashboards.</w:t>
            </w:r>
          </w:p>
        </w:tc>
      </w:tr>
      <w:tr>
        <w:tc>
          <w:tcPr>
            <w:tcW w:type="dxa" w:w="5112"/>
          </w:tcPr>
          <w:p>
            <w:r>
              <w:t>Long-form</w:t>
            </w:r>
          </w:p>
        </w:tc>
        <w:tc>
          <w:tcPr>
            <w:tcW w:type="dxa" w:w="5112"/>
          </w:tcPr>
          <w:p>
            <w:r>
              <w:t>Comfortable reading rhythm with sufficient line spacing.</w:t>
            </w:r>
          </w:p>
        </w:tc>
      </w:tr>
    </w:tbl>
    <w:p>
      <w:r>
        <w:rPr>
          <w:b w:val="0"/>
        </w:rPr>
        <w:t>Recommended default production approach: use a modern sans-serif family with multiple weights and strong Latin-script support. Exact font family should be locked in the design system after logo/visual testing.</w:t>
      </w:r>
    </w:p>
    <w:p>
      <w:pPr>
        <w:pStyle w:val="Heading1"/>
      </w:pPr>
      <w:r>
        <w:t>12. Typography Hierarchy</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Purpose</w:t>
            </w:r>
          </w:p>
        </w:tc>
      </w:tr>
      <w:tr>
        <w:tc>
          <w:tcPr>
            <w:tcW w:type="dxa" w:w="5112"/>
          </w:tcPr>
          <w:p>
            <w:r>
              <w:t>Hero headline</w:t>
            </w:r>
          </w:p>
        </w:tc>
        <w:tc>
          <w:tcPr>
            <w:tcW w:type="dxa" w:w="5112"/>
          </w:tcPr>
          <w:p>
            <w:r>
              <w:t>Communicate one core idea.</w:t>
            </w:r>
          </w:p>
        </w:tc>
      </w:tr>
      <w:tr>
        <w:tc>
          <w:tcPr>
            <w:tcW w:type="dxa" w:w="5112"/>
          </w:tcPr>
          <w:p>
            <w:r>
              <w:t>Section headline</w:t>
            </w:r>
          </w:p>
        </w:tc>
        <w:tc>
          <w:tcPr>
            <w:tcW w:type="dxa" w:w="5112"/>
          </w:tcPr>
          <w:p>
            <w:r>
              <w:t>Guide scanning.</w:t>
            </w:r>
          </w:p>
        </w:tc>
      </w:tr>
      <w:tr>
        <w:tc>
          <w:tcPr>
            <w:tcW w:type="dxa" w:w="5112"/>
          </w:tcPr>
          <w:p>
            <w:r>
              <w:t>Subheading</w:t>
            </w:r>
          </w:p>
        </w:tc>
        <w:tc>
          <w:tcPr>
            <w:tcW w:type="dxa" w:w="5112"/>
          </w:tcPr>
          <w:p>
            <w:r>
              <w:t>Explain the point.</w:t>
            </w:r>
          </w:p>
        </w:tc>
      </w:tr>
      <w:tr>
        <w:tc>
          <w:tcPr>
            <w:tcW w:type="dxa" w:w="5112"/>
          </w:tcPr>
          <w:p>
            <w:r>
              <w:t>Body</w:t>
            </w:r>
          </w:p>
        </w:tc>
        <w:tc>
          <w:tcPr>
            <w:tcW w:type="dxa" w:w="5112"/>
          </w:tcPr>
          <w:p>
            <w:r>
              <w:t>Deliver substance.</w:t>
            </w:r>
          </w:p>
        </w:tc>
      </w:tr>
      <w:tr>
        <w:tc>
          <w:tcPr>
            <w:tcW w:type="dxa" w:w="5112"/>
          </w:tcPr>
          <w:p>
            <w:r>
              <w:t>Caption/metadata</w:t>
            </w:r>
          </w:p>
        </w:tc>
        <w:tc>
          <w:tcPr>
            <w:tcW w:type="dxa" w:w="5112"/>
          </w:tcPr>
          <w:p>
            <w:r>
              <w:t>Support evidence and context.</w:t>
            </w:r>
          </w:p>
        </w:tc>
      </w:tr>
      <w:tr>
        <w:tc>
          <w:tcPr>
            <w:tcW w:type="dxa" w:w="5112"/>
          </w:tcPr>
          <w:p>
            <w:r>
              <w:t>CTA</w:t>
            </w:r>
          </w:p>
        </w:tc>
        <w:tc>
          <w:tcPr>
            <w:tcW w:type="dxa" w:w="5112"/>
          </w:tcPr>
          <w:p>
            <w:r>
              <w:t>Make the next action unmistakable.</w:t>
            </w:r>
          </w:p>
        </w:tc>
      </w:tr>
    </w:tbl>
    <w:p>
      <w:pPr>
        <w:pStyle w:val="Heading1"/>
      </w:pPr>
      <w:r>
        <w:t>13. Visual Language</w:t>
      </w:r>
    </w:p>
    <w:p>
      <w:r>
        <w:rPr>
          <w:b w:val="0"/>
        </w:rPr>
        <w:t>The visual language should express the idea that someone can be present and accountable even when the customer is physically distant.</w:t>
      </w:r>
    </w:p>
    <w:p>
      <w:pPr>
        <w:pStyle w:val="ListBullet"/>
      </w:pPr>
      <w:r>
        <w:t>Connection without clichés.</w:t>
      </w:r>
    </w:p>
    <w:p>
      <w:pPr>
        <w:pStyle w:val="ListBullet"/>
      </w:pPr>
      <w:r>
        <w:t>Human presence without staged corporate imagery.</w:t>
      </w:r>
    </w:p>
    <w:p>
      <w:pPr>
        <w:pStyle w:val="ListBullet"/>
      </w:pPr>
      <w:r>
        <w:t>Evidence and documentation without feeling bureaucratic.</w:t>
      </w:r>
    </w:p>
    <w:p>
      <w:pPr>
        <w:pStyle w:val="ListBullet"/>
      </w:pPr>
      <w:r>
        <w:t>Movement without speed-for-speed's-sake.</w:t>
      </w:r>
    </w:p>
    <w:p>
      <w:pPr>
        <w:pStyle w:val="ListBullet"/>
      </w:pPr>
      <w:r>
        <w:t>Calm confidence rather than urgency.</w:t>
      </w:r>
    </w:p>
    <w:p>
      <w:pPr>
        <w:pStyle w:val="Heading1"/>
      </w:pPr>
      <w:r>
        <w:t>14. Imagery Direction</w:t>
      </w:r>
    </w:p>
    <w:tbl>
      <w:tblPr>
        <w:tblStyle w:val="TableGrid"/>
        <w:tblW w:type="auto" w:w="0"/>
        <w:jc w:val="center"/>
        <w:tblLook w:firstColumn="1" w:firstRow="1" w:lastColumn="0" w:lastRow="0" w:noHBand="0" w:noVBand="1" w:val="04A0"/>
      </w:tblPr>
      <w:tblGrid>
        <w:gridCol w:w="5112"/>
        <w:gridCol w:w="5112"/>
      </w:tblGrid>
      <w:tr>
        <w:tc>
          <w:tcPr>
            <w:tcW w:type="dxa" w:w="5112"/>
          </w:tcPr>
          <w:p>
            <w:r>
              <w:t>Image Type</w:t>
            </w:r>
          </w:p>
        </w:tc>
        <w:tc>
          <w:tcPr>
            <w:tcW w:type="dxa" w:w="5112"/>
          </w:tcPr>
          <w:p>
            <w:r>
              <w:t>Direction</w:t>
            </w:r>
          </w:p>
        </w:tc>
      </w:tr>
      <w:tr>
        <w:tc>
          <w:tcPr>
            <w:tcW w:type="dxa" w:w="5112"/>
          </w:tcPr>
          <w:p>
            <w:r>
              <w:t>Primary</w:t>
            </w:r>
          </w:p>
        </w:tc>
        <w:tc>
          <w:tcPr>
            <w:tcW w:type="dxa" w:w="5112"/>
          </w:tcPr>
          <w:p>
            <w:r>
              <w:t>Real people and real-world Nigerian contexts.</w:t>
            </w:r>
          </w:p>
        </w:tc>
      </w:tr>
      <w:tr>
        <w:tc>
          <w:tcPr>
            <w:tcW w:type="dxa" w:w="5112"/>
          </w:tcPr>
          <w:p>
            <w:r>
              <w:t>Family</w:t>
            </w:r>
          </w:p>
        </w:tc>
        <w:tc>
          <w:tcPr>
            <w:tcW w:type="dxa" w:w="5112"/>
          </w:tcPr>
          <w:p>
            <w:r>
              <w:t>Authentic moments of support, responsibility and connection.</w:t>
            </w:r>
          </w:p>
        </w:tc>
      </w:tr>
      <w:tr>
        <w:tc>
          <w:tcPr>
            <w:tcW w:type="dxa" w:w="5112"/>
          </w:tcPr>
          <w:p>
            <w:r>
              <w:t>Diaspora</w:t>
            </w:r>
          </w:p>
        </w:tc>
        <w:tc>
          <w:tcPr>
            <w:tcW w:type="dxa" w:w="5112"/>
          </w:tcPr>
          <w:p>
            <w:r>
              <w:t>Customers represented naturally in their lived environments.</w:t>
            </w:r>
          </w:p>
        </w:tc>
      </w:tr>
      <w:tr>
        <w:tc>
          <w:tcPr>
            <w:tcW w:type="dxa" w:w="5112"/>
          </w:tcPr>
          <w:p>
            <w:r>
              <w:t>Field work</w:t>
            </w:r>
          </w:p>
        </w:tc>
        <w:tc>
          <w:tcPr>
            <w:tcW w:type="dxa" w:w="5112"/>
          </w:tcPr>
          <w:p>
            <w:r>
              <w:t>Documentary-style images showing responsible execution.</w:t>
            </w:r>
          </w:p>
        </w:tc>
      </w:tr>
      <w:tr>
        <w:tc>
          <w:tcPr>
            <w:tcW w:type="dxa" w:w="5112"/>
          </w:tcPr>
          <w:p>
            <w:r>
              <w:t>Evidence</w:t>
            </w:r>
          </w:p>
        </w:tc>
        <w:tc>
          <w:tcPr>
            <w:tcW w:type="dxa" w:w="5112"/>
          </w:tcPr>
          <w:p>
            <w:r>
              <w:t>Clear, credible visual proof of work where privacy permits.</w:t>
            </w:r>
          </w:p>
        </w:tc>
      </w:tr>
      <w:tr>
        <w:tc>
          <w:tcPr>
            <w:tcW w:type="dxa" w:w="5112"/>
          </w:tcPr>
          <w:p>
            <w:r>
              <w:t>Portraits</w:t>
            </w:r>
          </w:p>
        </w:tc>
        <w:tc>
          <w:tcPr>
            <w:tcW w:type="dxa" w:w="5112"/>
          </w:tcPr>
          <w:p>
            <w:r>
              <w:t>Warm, confident, trustworthy people.</w:t>
            </w:r>
          </w:p>
        </w:tc>
      </w:tr>
      <w:tr>
        <w:tc>
          <w:tcPr>
            <w:tcW w:type="dxa" w:w="5112"/>
          </w:tcPr>
          <w:p>
            <w:r>
              <w:t>Avoid</w:t>
            </w:r>
          </w:p>
        </w:tc>
        <w:tc>
          <w:tcPr>
            <w:tcW w:type="dxa" w:w="5112"/>
          </w:tcPr>
          <w:p>
            <w:r>
              <w:t>Generic handshake stock photos, exaggerated hardship, stereotypes and staged luxury imagery.</w:t>
            </w:r>
          </w:p>
        </w:tc>
      </w:tr>
    </w:tbl>
    <w:p>
      <w:pPr>
        <w:pStyle w:val="Heading1"/>
      </w:pPr>
      <w:r>
        <w:t>15. Photography Principles</w:t>
      </w:r>
    </w:p>
    <w:p>
      <w:pPr>
        <w:pStyle w:val="ListNumber"/>
      </w:pPr>
      <w:r>
        <w:t>Prefer authentic over polished-for-polish's-sake.</w:t>
      </w:r>
    </w:p>
    <w:p>
      <w:pPr>
        <w:pStyle w:val="ListNumber"/>
      </w:pPr>
      <w:r>
        <w:t>Show context.</w:t>
      </w:r>
    </w:p>
    <w:p>
      <w:pPr>
        <w:pStyle w:val="ListNumber"/>
      </w:pPr>
      <w:r>
        <w:t>Show the human reason behind the service.</w:t>
      </w:r>
    </w:p>
    <w:p>
      <w:pPr>
        <w:pStyle w:val="ListNumber"/>
      </w:pPr>
      <w:r>
        <w:t>Use natural expressions.</w:t>
      </w:r>
    </w:p>
    <w:p>
      <w:pPr>
        <w:pStyle w:val="ListNumber"/>
      </w:pPr>
      <w:r>
        <w:t>Make Nigeria feel real, capable and contemporary.</w:t>
      </w:r>
    </w:p>
    <w:p>
      <w:pPr>
        <w:pStyle w:val="ListNumber"/>
      </w:pPr>
      <w:r>
        <w:t>Never use customer/family imagery without appropriate permission.</w:t>
      </w:r>
    </w:p>
    <w:p>
      <w:pPr>
        <w:pStyle w:val="ListNumber"/>
      </w:pPr>
      <w:r>
        <w:t>Protect private information visible in documents, screens, addresses or evidence.</w:t>
      </w:r>
    </w:p>
    <w:p>
      <w:pPr>
        <w:pStyle w:val="Heading1"/>
      </w:pPr>
      <w:r>
        <w:t>16. Illustration &amp; Iconography</w:t>
      </w:r>
    </w:p>
    <w:p>
      <w:r>
        <w:rPr>
          <w:b w:val="0"/>
        </w:rPr>
        <w:t>Icons should be simple, geometric and functional.</w:t>
      </w:r>
    </w:p>
    <w:p>
      <w:pPr>
        <w:pStyle w:val="ListBullet"/>
      </w:pPr>
      <w:r>
        <w:t>Use icons to clarify rather than decorate.</w:t>
      </w:r>
    </w:p>
    <w:p>
      <w:pPr>
        <w:pStyle w:val="ListBullet"/>
      </w:pPr>
      <w:r>
        <w:t>Keep stroke/shape treatment consistent.</w:t>
      </w:r>
    </w:p>
    <w:p>
      <w:pPr>
        <w:pStyle w:val="ListBullet"/>
      </w:pPr>
      <w:r>
        <w:t>Prefer a small reusable icon family.</w:t>
      </w:r>
    </w:p>
    <w:p>
      <w:pPr>
        <w:pStyle w:val="ListBullet"/>
      </w:pPr>
      <w:r>
        <w:t>Avoid generic service-marketplace icon overload.</w:t>
      </w:r>
    </w:p>
    <w:p>
      <w:pPr>
        <w:pStyle w:val="ListBullet"/>
      </w:pPr>
      <w:r>
        <w:t>Create bespoke brand symbols only where they add recognition or meaning.</w:t>
      </w:r>
    </w:p>
    <w:p>
      <w:pPr>
        <w:pStyle w:val="Heading1"/>
      </w:pPr>
      <w:r>
        <w:t>17. Graphic Motifs</w:t>
      </w:r>
    </w:p>
    <w:p>
      <w:r>
        <w:rPr>
          <w:b w:val="0"/>
        </w:rPr>
        <w:t>The arc/connection idea can become a secondary visual motif across marketing without repeatedly reproducing the logo itself.</w:t>
      </w:r>
    </w:p>
    <w:p>
      <w:pPr>
        <w:pStyle w:val="ListBullet"/>
      </w:pPr>
      <w:r>
        <w:t>Curved connection lines.</w:t>
      </w:r>
    </w:p>
    <w:p>
      <w:pPr>
        <w:pStyle w:val="ListBullet"/>
      </w:pPr>
      <w:r>
        <w:t>Subtle arcs suggesting presence/protection.</w:t>
      </w:r>
    </w:p>
    <w:p>
      <w:pPr>
        <w:pStyle w:val="ListBullet"/>
      </w:pPr>
      <w:r>
        <w:t>Path or bridge-like compositions.</w:t>
      </w:r>
    </w:p>
    <w:p>
      <w:pPr>
        <w:pStyle w:val="ListBullet"/>
      </w:pPr>
      <w:r>
        <w:t>Layered cards showing customer → representative → evidence.</w:t>
      </w:r>
    </w:p>
    <w:p>
      <w:pPr>
        <w:pStyle w:val="ListBullet"/>
      </w:pPr>
      <w:r>
        <w:t>Document/evidence frames used sparingly.</w:t>
      </w:r>
    </w:p>
    <w:p>
      <w:r>
        <w:rPr>
          <w:b w:val="0"/>
        </w:rPr>
        <w:t>The motif should never become so literal that the brand feels like a logistics or transportation company.</w:t>
      </w:r>
    </w:p>
    <w:p>
      <w:pPr>
        <w:pStyle w:val="Heading1"/>
      </w:pPr>
      <w:r>
        <w:t>18. Layout Principles</w:t>
      </w:r>
    </w:p>
    <w:p>
      <w:pPr>
        <w:pStyle w:val="ListNumber"/>
      </w:pPr>
      <w:r>
        <w:t>Lead with one idea per screen or major composition.</w:t>
      </w:r>
    </w:p>
    <w:p>
      <w:pPr>
        <w:pStyle w:val="ListNumber"/>
      </w:pPr>
      <w:r>
        <w:t>Use whitespace to create confidence.</w:t>
      </w:r>
    </w:p>
    <w:p>
      <w:pPr>
        <w:pStyle w:val="ListNumber"/>
      </w:pPr>
      <w:r>
        <w:t>Use strong alignment and consistent grids.</w:t>
      </w:r>
    </w:p>
    <w:p>
      <w:pPr>
        <w:pStyle w:val="ListNumber"/>
      </w:pPr>
      <w:r>
        <w:t>Keep customer benefit visually dominant.</w:t>
      </w:r>
    </w:p>
    <w:p>
      <w:pPr>
        <w:pStyle w:val="ListNumber"/>
      </w:pPr>
      <w:r>
        <w:t>Use evidence/proof near claims where appropriate.</w:t>
      </w:r>
    </w:p>
    <w:p>
      <w:pPr>
        <w:pStyle w:val="ListNumber"/>
      </w:pPr>
      <w:r>
        <w:t>Keep CTAs clear and limited.</w:t>
      </w:r>
    </w:p>
    <w:p>
      <w:pPr>
        <w:pStyle w:val="ListNumber"/>
      </w:pPr>
      <w:r>
        <w:t>Design mobile-first for customer acquisition surfaces.</w:t>
      </w:r>
    </w:p>
    <w:p>
      <w:pPr>
        <w:pStyle w:val="Heading1"/>
      </w:pPr>
      <w:r>
        <w:t>19. Digital Product Principles</w:t>
      </w:r>
    </w:p>
    <w:tbl>
      <w:tblPr>
        <w:tblStyle w:val="TableGrid"/>
        <w:tblW w:type="auto" w:w="0"/>
        <w:jc w:val="center"/>
        <w:tblLook w:firstColumn="1" w:firstRow="1" w:lastColumn="0" w:lastRow="0" w:noHBand="0" w:noVBand="1" w:val="04A0"/>
      </w:tblPr>
      <w:tblGrid>
        <w:gridCol w:w="5112"/>
        <w:gridCol w:w="5112"/>
      </w:tblGrid>
      <w:tr>
        <w:tc>
          <w:tcPr>
            <w:tcW w:type="dxa" w:w="5112"/>
          </w:tcPr>
          <w:p>
            <w:r>
              <w:t>Surface</w:t>
            </w:r>
          </w:p>
        </w:tc>
        <w:tc>
          <w:tcPr>
            <w:tcW w:type="dxa" w:w="5112"/>
          </w:tcPr>
          <w:p>
            <w:r>
              <w:t>Brand Requirement</w:t>
            </w:r>
          </w:p>
        </w:tc>
      </w:tr>
      <w:tr>
        <w:tc>
          <w:tcPr>
            <w:tcW w:type="dxa" w:w="5112"/>
          </w:tcPr>
          <w:p>
            <w:r>
              <w:t>Landing page</w:t>
            </w:r>
          </w:p>
        </w:tc>
        <w:tc>
          <w:tcPr>
            <w:tcW w:type="dxa" w:w="5112"/>
          </w:tcPr>
          <w:p>
            <w:r>
              <w:t>Lead with representation and trust, not feature lists.</w:t>
            </w:r>
          </w:p>
        </w:tc>
      </w:tr>
      <w:tr>
        <w:tc>
          <w:tcPr>
            <w:tcW w:type="dxa" w:w="5112"/>
          </w:tcPr>
          <w:p>
            <w:r>
              <w:t>Onboarding</w:t>
            </w:r>
          </w:p>
        </w:tc>
        <w:tc>
          <w:tcPr>
            <w:tcW w:type="dxa" w:w="5112"/>
          </w:tcPr>
          <w:p>
            <w:r>
              <w:t>Warm, simple and confidence-building.</w:t>
            </w:r>
          </w:p>
        </w:tc>
      </w:tr>
      <w:tr>
        <w:tc>
          <w:tcPr>
            <w:tcW w:type="dxa" w:w="5112"/>
          </w:tcPr>
          <w:p>
            <w:r>
              <w:t>Case dashboard</w:t>
            </w:r>
          </w:p>
        </w:tc>
        <w:tc>
          <w:tcPr>
            <w:tcW w:type="dxa" w:w="5112"/>
          </w:tcPr>
          <w:p>
            <w:r>
              <w:t>Clear state, next action and evidence.</w:t>
            </w:r>
          </w:p>
        </w:tc>
      </w:tr>
      <w:tr>
        <w:tc>
          <w:tcPr>
            <w:tcW w:type="dxa" w:w="5112"/>
          </w:tcPr>
          <w:p>
            <w:r>
              <w:t>Quote</w:t>
            </w:r>
          </w:p>
        </w:tc>
        <w:tc>
          <w:tcPr>
            <w:tcW w:type="dxa" w:w="5112"/>
          </w:tcPr>
          <w:p>
            <w:r>
              <w:t>Transparent and easy to understand.</w:t>
            </w:r>
          </w:p>
        </w:tc>
      </w:tr>
      <w:tr>
        <w:tc>
          <w:tcPr>
            <w:tcW w:type="dxa" w:w="5112"/>
          </w:tcPr>
          <w:p>
            <w:r>
              <w:t>Payment</w:t>
            </w:r>
          </w:p>
        </w:tc>
        <w:tc>
          <w:tcPr>
            <w:tcW w:type="dxa" w:w="5112"/>
          </w:tcPr>
          <w:p>
            <w:r>
              <w:t>Calm, trustworthy and explicit.</w:t>
            </w:r>
          </w:p>
        </w:tc>
      </w:tr>
      <w:tr>
        <w:tc>
          <w:tcPr>
            <w:tcW w:type="dxa" w:w="5112"/>
          </w:tcPr>
          <w:p>
            <w:r>
              <w:t>Evidence</w:t>
            </w:r>
          </w:p>
        </w:tc>
        <w:tc>
          <w:tcPr>
            <w:tcW w:type="dxa" w:w="5112"/>
          </w:tcPr>
          <w:p>
            <w:r>
              <w:t>Structured and confidence-building.</w:t>
            </w:r>
          </w:p>
        </w:tc>
      </w:tr>
      <w:tr>
        <w:tc>
          <w:tcPr>
            <w:tcW w:type="dxa" w:w="5112"/>
          </w:tcPr>
          <w:p>
            <w:r>
              <w:t>Report</w:t>
            </w:r>
          </w:p>
        </w:tc>
        <w:tc>
          <w:tcPr>
            <w:tcW w:type="dxa" w:w="5112"/>
          </w:tcPr>
          <w:p>
            <w:r>
              <w:t>Professional and evidence-backed.</w:t>
            </w:r>
          </w:p>
        </w:tc>
      </w:tr>
      <w:tr>
        <w:tc>
          <w:tcPr>
            <w:tcW w:type="dxa" w:w="5112"/>
          </w:tcPr>
          <w:p>
            <w:r>
              <w:t>Support</w:t>
            </w:r>
          </w:p>
        </w:tc>
        <w:tc>
          <w:tcPr>
            <w:tcW w:type="dxa" w:w="5112"/>
          </w:tcPr>
          <w:p>
            <w:r>
              <w:t>Human and easy to access.</w:t>
            </w:r>
          </w:p>
        </w:tc>
      </w:tr>
    </w:tbl>
    <w:p>
      <w:pPr>
        <w:pStyle w:val="Heading1"/>
      </w:pPr>
      <w:r>
        <w:t>20. Marketing Design Principles</w:t>
      </w:r>
    </w:p>
    <w:p>
      <w:pPr>
        <w:pStyle w:val="ListBullet"/>
      </w:pPr>
      <w:r>
        <w:t>Every campaign should reinforce the mental association with trusted representation.</w:t>
      </w:r>
    </w:p>
    <w:p>
      <w:pPr>
        <w:pStyle w:val="ListBullet"/>
      </w:pPr>
      <w:r>
        <w:t>Hero creative should show the emotional problem before the product mechanics.</w:t>
      </w:r>
    </w:p>
    <w:p>
      <w:pPr>
        <w:pStyle w:val="ListBullet"/>
      </w:pPr>
      <w:r>
        <w:t>Use proof wherever possible.</w:t>
      </w:r>
    </w:p>
    <w:p>
      <w:pPr>
        <w:pStyle w:val="ListBullet"/>
      </w:pPr>
      <w:r>
        <w:t>Keep the primary tagline visible in major brand campaigns.</w:t>
      </w:r>
    </w:p>
    <w:p>
      <w:pPr>
        <w:pStyle w:val="ListBullet"/>
      </w:pPr>
      <w:r>
        <w:t>Do not create a different visual identity for every campaign.</w:t>
      </w:r>
    </w:p>
    <w:p>
      <w:pPr>
        <w:pStyle w:val="ListBullet"/>
      </w:pPr>
      <w:r>
        <w:t>Use campaign concepts as expressions of the same master brand.</w:t>
      </w:r>
    </w:p>
    <w:p>
      <w:pPr>
        <w:pStyle w:val="Heading1"/>
      </w:pPr>
      <w:r>
        <w:t>21. Brand + Tagline Lockup</w:t>
      </w:r>
    </w:p>
    <w:p>
      <w:r>
        <w:rPr>
          <w:b w:val="0"/>
        </w:rPr>
        <w:t>Primary lockup:</w:t>
      </w:r>
    </w:p>
    <w:p>
      <w:r>
        <w:rPr>
          <w:b/>
        </w:rPr>
        <w:t>ASOJU</w:t>
      </w:r>
    </w:p>
    <w:p>
      <w:r>
        <w:rPr>
          <w:b w:val="0"/>
        </w:rPr>
        <w:t>Your Trusted Rep Back Home.</w:t>
      </w:r>
    </w:p>
    <w:p>
      <w:r>
        <w:rPr>
          <w:b w:val="0"/>
        </w:rPr>
        <w:t>The tagline should usually sit close enough to the logo to build association, but not so tightly that it becomes visually inseparable from the mark.</w:t>
      </w:r>
    </w:p>
    <w:p>
      <w:r>
        <w:rPr>
          <w:b w:val="0"/>
        </w:rPr>
        <w:t>In high-density product interfaces, the symbol/wordmark may appear without the tagline when repetition has already established the brand.</w:t>
      </w:r>
    </w:p>
    <w:p>
      <w:pPr>
        <w:pStyle w:val="Heading1"/>
      </w:pPr>
      <w:r>
        <w:t>22. Social Media Identity</w:t>
      </w:r>
    </w:p>
    <w:p>
      <w:pPr>
        <w:pStyle w:val="ListBullet"/>
      </w:pPr>
      <w:r>
        <w:t>Use the approved symbol or wordmark consistently as profile identity.</w:t>
      </w:r>
    </w:p>
    <w:p>
      <w:pPr>
        <w:pStyle w:val="ListBullet"/>
      </w:pPr>
      <w:r>
        <w:t>Maintain a consistent header/banner system.</w:t>
      </w:r>
    </w:p>
    <w:p>
      <w:pPr>
        <w:pStyle w:val="ListBullet"/>
      </w:pPr>
      <w:r>
        <w:t>Use recurring visual motifs rather than random templates.</w:t>
      </w:r>
    </w:p>
    <w:p>
      <w:pPr>
        <w:pStyle w:val="ListBullet"/>
      </w:pPr>
      <w:r>
        <w:t>Prioritize real stories, useful diaspora content and proof.</w:t>
      </w:r>
    </w:p>
    <w:p>
      <w:pPr>
        <w:pStyle w:val="ListBullet"/>
      </w:pPr>
      <w:r>
        <w:t>Keep typography and brand colors consistent.</w:t>
      </w:r>
    </w:p>
    <w:p>
      <w:pPr>
        <w:pStyle w:val="ListBullet"/>
      </w:pPr>
      <w:r>
        <w:t>Make every profile immediately recognizable as ASOJU.</w:t>
      </w:r>
    </w:p>
    <w:p>
      <w:pPr>
        <w:pStyle w:val="Heading1"/>
      </w:pPr>
      <w:r>
        <w:t>23. Presentation &amp; Document Identity</w:t>
      </w:r>
    </w:p>
    <w:p>
      <w:pPr>
        <w:pStyle w:val="ListBullet"/>
      </w:pPr>
      <w:r>
        <w:t>Use the same logo lockup across official documents.</w:t>
      </w:r>
    </w:p>
    <w:p>
      <w:pPr>
        <w:pStyle w:val="ListBullet"/>
      </w:pPr>
      <w:r>
        <w:t>Maintain a consistent cover hierarchy.</w:t>
      </w:r>
    </w:p>
    <w:p>
      <w:pPr>
        <w:pStyle w:val="ListBullet"/>
      </w:pPr>
      <w:r>
        <w:t>Use restrained brand color.</w:t>
      </w:r>
    </w:p>
    <w:p>
      <w:pPr>
        <w:pStyle w:val="ListBullet"/>
      </w:pPr>
      <w:r>
        <w:t>Use strong typography and clean tables.</w:t>
      </w:r>
    </w:p>
    <w:p>
      <w:pPr>
        <w:pStyle w:val="ListBullet"/>
      </w:pPr>
      <w:r>
        <w:t>Use page numbers and version/date metadata for formal documents.</w:t>
      </w:r>
    </w:p>
    <w:p>
      <w:pPr>
        <w:pStyle w:val="ListBullet"/>
      </w:pPr>
      <w:r>
        <w:t>Keep internal operational documents more functional than promotional.</w:t>
      </w:r>
    </w:p>
    <w:p>
      <w:pPr>
        <w:pStyle w:val="Heading1"/>
      </w:pPr>
      <w:r>
        <w:t>24. Customer Communication Identity</w:t>
      </w:r>
    </w:p>
    <w:p>
      <w:r>
        <w:rPr>
          <w:b w:val="0"/>
        </w:rPr>
        <w:t>Customer communication is part of the brand identity.</w:t>
      </w:r>
    </w:p>
    <w:p>
      <w:pPr>
        <w:pStyle w:val="ListBullet"/>
      </w:pPr>
      <w:r>
        <w:t>Warm but direct.</w:t>
      </w:r>
    </w:p>
    <w:p>
      <w:pPr>
        <w:pStyle w:val="ListBullet"/>
      </w:pPr>
      <w:r>
        <w:t>Specific about next steps.</w:t>
      </w:r>
    </w:p>
    <w:p>
      <w:pPr>
        <w:pStyle w:val="ListBullet"/>
      </w:pPr>
      <w:r>
        <w:t>Calm when problems occur.</w:t>
      </w:r>
    </w:p>
    <w:p>
      <w:pPr>
        <w:pStyle w:val="ListBullet"/>
      </w:pPr>
      <w:r>
        <w:t>Transparent about uncertainty.</w:t>
      </w:r>
    </w:p>
    <w:p>
      <w:pPr>
        <w:pStyle w:val="ListBullet"/>
      </w:pPr>
      <w:r>
        <w:t>Respectful of family context.</w:t>
      </w:r>
    </w:p>
    <w:p>
      <w:pPr>
        <w:pStyle w:val="ListBullet"/>
      </w:pPr>
      <w:r>
        <w:t>Never defensive when a customer raises a concern.</w:t>
      </w:r>
    </w:p>
    <w:p>
      <w:pPr>
        <w:pStyle w:val="ListBullet"/>
      </w:pPr>
      <w:r>
        <w:t>Always protect trust over short-term convenience.</w:t>
      </w:r>
    </w:p>
    <w:p>
      <w:pPr>
        <w:pStyle w:val="Heading1"/>
      </w:pPr>
      <w:r>
        <w:t>25. Brand Accessibility</w:t>
      </w:r>
    </w:p>
    <w:p>
      <w:pPr>
        <w:pStyle w:val="ListBullet"/>
      </w:pPr>
      <w:r>
        <w:t>Meet accessible text/background contrast requirements.</w:t>
      </w:r>
    </w:p>
    <w:p>
      <w:pPr>
        <w:pStyle w:val="ListBullet"/>
      </w:pPr>
      <w:r>
        <w:t>Do not use color as the only indicator of state.</w:t>
      </w:r>
    </w:p>
    <w:p>
      <w:pPr>
        <w:pStyle w:val="ListBullet"/>
      </w:pPr>
      <w:r>
        <w:t>Use readable font sizes.</w:t>
      </w:r>
    </w:p>
    <w:p>
      <w:pPr>
        <w:pStyle w:val="ListBullet"/>
      </w:pPr>
      <w:r>
        <w:t>Ensure buttons and controls have clear labels.</w:t>
      </w:r>
    </w:p>
    <w:p>
      <w:pPr>
        <w:pStyle w:val="ListBullet"/>
      </w:pPr>
      <w:r>
        <w:t>Ensure critical customer information is understandable without visual cues alone.</w:t>
      </w:r>
    </w:p>
    <w:p>
      <w:pPr>
        <w:pStyle w:val="ListBullet"/>
      </w:pPr>
      <w:r>
        <w:t>Test major brand surfaces on mobile devices.</w:t>
      </w:r>
    </w:p>
    <w:p>
      <w:pPr>
        <w:pStyle w:val="Heading1"/>
      </w:pPr>
      <w:r>
        <w:t>26. Brand Photography Ethics</w:t>
      </w:r>
    </w:p>
    <w:p>
      <w:pPr>
        <w:pStyle w:val="ListBullet"/>
      </w:pPr>
      <w:r>
        <w:t>Obtain appropriate consent.</w:t>
      </w:r>
    </w:p>
    <w:p>
      <w:pPr>
        <w:pStyle w:val="ListBullet"/>
      </w:pPr>
      <w:r>
        <w:t>Do not expose private documents or personal information.</w:t>
      </w:r>
    </w:p>
    <w:p>
      <w:pPr>
        <w:pStyle w:val="ListBullet"/>
      </w:pPr>
      <w:r>
        <w:t>Do not manufacture evidence for marketing.</w:t>
      </w:r>
    </w:p>
    <w:p>
      <w:pPr>
        <w:pStyle w:val="ListBullet"/>
      </w:pPr>
      <w:r>
        <w:t>Clearly distinguish illustrative content from real customer evidence.</w:t>
      </w:r>
    </w:p>
    <w:p>
      <w:pPr>
        <w:pStyle w:val="ListBullet"/>
      </w:pPr>
      <w:r>
        <w:t>Do not use family vulnerability as entertainment or fear-based persuasion.</w:t>
      </w:r>
    </w:p>
    <w:p>
      <w:pPr>
        <w:pStyle w:val="ListBullet"/>
      </w:pPr>
      <w:r>
        <w:t>Respect the dignity of customers, families and representatives.</w:t>
      </w:r>
    </w:p>
    <w:p>
      <w:pPr>
        <w:pStyle w:val="Heading1"/>
      </w:pPr>
      <w:r>
        <w:t>27. Brand Consistency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t>Check</w:t>
            </w:r>
          </w:p>
        </w:tc>
        <w:tc>
          <w:tcPr>
            <w:tcW w:type="dxa" w:w="5112"/>
          </w:tcPr>
          <w:p>
            <w:r>
              <w:t>Pass Condition</w:t>
            </w:r>
          </w:p>
        </w:tc>
      </w:tr>
      <w:tr>
        <w:tc>
          <w:tcPr>
            <w:tcW w:type="dxa" w:w="5112"/>
          </w:tcPr>
          <w:p>
            <w:r>
              <w:t>Logo</w:t>
            </w:r>
          </w:p>
        </w:tc>
        <w:tc>
          <w:tcPr>
            <w:tcW w:type="dxa" w:w="5112"/>
          </w:tcPr>
          <w:p>
            <w:r>
              <w:t>Approved artwork used.</w:t>
            </w:r>
          </w:p>
        </w:tc>
      </w:tr>
      <w:tr>
        <w:tc>
          <w:tcPr>
            <w:tcW w:type="dxa" w:w="5112"/>
          </w:tcPr>
          <w:p>
            <w:r>
              <w:t>Tagline</w:t>
            </w:r>
          </w:p>
        </w:tc>
        <w:tc>
          <w:tcPr>
            <w:tcW w:type="dxa" w:w="5112"/>
          </w:tcPr>
          <w:p>
            <w:r>
              <w:t>Primary tagline used correctly.</w:t>
            </w:r>
          </w:p>
        </w:tc>
      </w:tr>
      <w:tr>
        <w:tc>
          <w:tcPr>
            <w:tcW w:type="dxa" w:w="5112"/>
          </w:tcPr>
          <w:p>
            <w:r>
              <w:t>Color</w:t>
            </w:r>
          </w:p>
        </w:tc>
        <w:tc>
          <w:tcPr>
            <w:tcW w:type="dxa" w:w="5112"/>
          </w:tcPr>
          <w:p>
            <w:r>
              <w:t>Approved palette/design tokens used.</w:t>
            </w:r>
          </w:p>
        </w:tc>
      </w:tr>
      <w:tr>
        <w:tc>
          <w:tcPr>
            <w:tcW w:type="dxa" w:w="5112"/>
          </w:tcPr>
          <w:p>
            <w:r>
              <w:t>Typography</w:t>
            </w:r>
          </w:p>
        </w:tc>
        <w:tc>
          <w:tcPr>
            <w:tcW w:type="dxa" w:w="5112"/>
          </w:tcPr>
          <w:p>
            <w:r>
              <w:t>Approved type system used.</w:t>
            </w:r>
          </w:p>
        </w:tc>
      </w:tr>
      <w:tr>
        <w:tc>
          <w:tcPr>
            <w:tcW w:type="dxa" w:w="5112"/>
          </w:tcPr>
          <w:p>
            <w:r>
              <w:t>Imagery</w:t>
            </w:r>
          </w:p>
        </w:tc>
        <w:tc>
          <w:tcPr>
            <w:tcW w:type="dxa" w:w="5112"/>
          </w:tcPr>
          <w:p>
            <w:r>
              <w:t>Matches brand photography principles.</w:t>
            </w:r>
          </w:p>
        </w:tc>
      </w:tr>
      <w:tr>
        <w:tc>
          <w:tcPr>
            <w:tcW w:type="dxa" w:w="5112"/>
          </w:tcPr>
          <w:p>
            <w:r>
              <w:t>Voice</w:t>
            </w:r>
          </w:p>
        </w:tc>
        <w:tc>
          <w:tcPr>
            <w:tcW w:type="dxa" w:w="5112"/>
          </w:tcPr>
          <w:p>
            <w:r>
              <w:t>Matches brand verbal identity.</w:t>
            </w:r>
          </w:p>
        </w:tc>
      </w:tr>
      <w:tr>
        <w:tc>
          <w:tcPr>
            <w:tcW w:type="dxa" w:w="5112"/>
          </w:tcPr>
          <w:p>
            <w:r>
              <w:t>Layout</w:t>
            </w:r>
          </w:p>
        </w:tc>
        <w:tc>
          <w:tcPr>
            <w:tcW w:type="dxa" w:w="5112"/>
          </w:tcPr>
          <w:p>
            <w:r>
              <w:t>Uses approved hierarchy/grid.</w:t>
            </w:r>
          </w:p>
        </w:tc>
      </w:tr>
      <w:tr>
        <w:tc>
          <w:tcPr>
            <w:tcW w:type="dxa" w:w="5112"/>
          </w:tcPr>
          <w:p>
            <w:r>
              <w:t>Trust claim</w:t>
            </w:r>
          </w:p>
        </w:tc>
        <w:tc>
          <w:tcPr>
            <w:tcW w:type="dxa" w:w="5112"/>
          </w:tcPr>
          <w:p>
            <w:r>
              <w:t>Supported by an operational proof point.</w:t>
            </w:r>
          </w:p>
        </w:tc>
      </w:tr>
      <w:tr>
        <w:tc>
          <w:tcPr>
            <w:tcW w:type="dxa" w:w="5112"/>
          </w:tcPr>
          <w:p>
            <w:r>
              <w:t>Privacy</w:t>
            </w:r>
          </w:p>
        </w:tc>
        <w:tc>
          <w:tcPr>
            <w:tcW w:type="dxa" w:w="5112"/>
          </w:tcPr>
          <w:p>
            <w:r>
              <w:t>No unauthorized personal information.</w:t>
            </w:r>
          </w:p>
        </w:tc>
      </w:tr>
      <w:tr>
        <w:tc>
          <w:tcPr>
            <w:tcW w:type="dxa" w:w="5112"/>
          </w:tcPr>
          <w:p>
            <w:r>
              <w:t>Accessibility</w:t>
            </w:r>
          </w:p>
        </w:tc>
        <w:tc>
          <w:tcPr>
            <w:tcW w:type="dxa" w:w="5112"/>
          </w:tcPr>
          <w:p>
            <w:r>
              <w:t>Readable and usable.</w:t>
            </w:r>
          </w:p>
        </w:tc>
      </w:tr>
    </w:tbl>
    <w:p>
      <w:pPr>
        <w:pStyle w:val="Heading1"/>
      </w:pPr>
      <w:r>
        <w:t>28. Brand Approval Workflow</w:t>
      </w:r>
    </w:p>
    <w:p>
      <w:pPr>
        <w:pStyle w:val="ListNumber"/>
      </w:pPr>
      <w:r>
        <w:t>Create concept.</w:t>
      </w:r>
    </w:p>
    <w:p>
      <w:pPr>
        <w:pStyle w:val="ListNumber"/>
      </w:pPr>
      <w:r>
        <w:t>Check against Brand Strategy &amp; Positioning.</w:t>
      </w:r>
    </w:p>
    <w:p>
      <w:pPr>
        <w:pStyle w:val="ListNumber"/>
      </w:pPr>
      <w:r>
        <w:t>Check logo/visual identity rules.</w:t>
      </w:r>
    </w:p>
    <w:p>
      <w:pPr>
        <w:pStyle w:val="ListNumber"/>
      </w:pPr>
      <w:r>
        <w:t>Check customer trust promise.</w:t>
      </w:r>
    </w:p>
    <w:p>
      <w:pPr>
        <w:pStyle w:val="ListNumber"/>
      </w:pPr>
      <w:r>
        <w:t>Check legal/privacy requirements where applicable.</w:t>
      </w:r>
    </w:p>
    <w:p>
      <w:pPr>
        <w:pStyle w:val="ListNumber"/>
      </w:pPr>
      <w:r>
        <w:t>Review for consistency across channels.</w:t>
      </w:r>
    </w:p>
    <w:p>
      <w:pPr>
        <w:pStyle w:val="ListNumber"/>
      </w:pPr>
      <w:r>
        <w:t>Approve master asset.</w:t>
      </w:r>
    </w:p>
    <w:p>
      <w:pPr>
        <w:pStyle w:val="ListNumber"/>
      </w:pPr>
      <w:r>
        <w:t>Archive final asset with version/date.</w:t>
      </w:r>
    </w:p>
    <w:p>
      <w:pPr>
        <w:pStyle w:val="ListNumber"/>
      </w:pPr>
      <w:r>
        <w:t>Use the approved master for derivative assets.</w:t>
      </w:r>
    </w:p>
    <w:p>
      <w:pPr>
        <w:pStyle w:val="Heading1"/>
      </w:pPr>
      <w:r>
        <w:t>29. Asset Naming &amp; Versioning</w:t>
      </w:r>
    </w:p>
    <w:p>
      <w:r>
        <w:rPr>
          <w:b w:val="0"/>
        </w:rPr>
        <w:t>Recommended convention:</w:t>
      </w:r>
    </w:p>
    <w:p>
      <w:r>
        <w:rPr>
          <w:b w:val="0"/>
        </w:rPr>
        <w:t>ASOJU_[ASSET TYPE]_[DESCRIPTION]_v[VERSION]_[DATE]</w:t>
      </w:r>
    </w:p>
    <w:p>
      <w:r>
        <w:rPr>
          <w:b w:val="0"/>
        </w:rPr>
        <w:t>Examples:</w:t>
      </w:r>
    </w:p>
    <w:p>
      <w:pPr>
        <w:pStyle w:val="ListBullet"/>
      </w:pPr>
      <w:r>
        <w:t>ASOJU_LOGO_PRIMARY_v1.0</w:t>
      </w:r>
    </w:p>
    <w:p>
      <w:pPr>
        <w:pStyle w:val="ListBullet"/>
      </w:pPr>
      <w:r>
        <w:t>ASOJU_LOGO_SYMBOL_v1.0</w:t>
      </w:r>
    </w:p>
    <w:p>
      <w:pPr>
        <w:pStyle w:val="ListBullet"/>
      </w:pPr>
      <w:r>
        <w:t>ASOJU_SOCIAL_TEMPLATE_v1.0</w:t>
      </w:r>
    </w:p>
    <w:p>
      <w:pPr>
        <w:pStyle w:val="ListBullet"/>
      </w:pPr>
      <w:r>
        <w:t>ASOJU_CAMPAIGN_HERO_v1.0</w:t>
      </w:r>
    </w:p>
    <w:p>
      <w:pPr>
        <w:pStyle w:val="ListBullet"/>
      </w:pPr>
      <w:r>
        <w:t>ASOJU_PRESENTATION_MASTER_v1.0</w:t>
      </w:r>
    </w:p>
    <w:p>
      <w:pPr>
        <w:pStyle w:val="Heading1"/>
      </w:pPr>
      <w:r>
        <w:t>30. Brand Asset Library</w:t>
      </w:r>
    </w:p>
    <w:tbl>
      <w:tblPr>
        <w:tblStyle w:val="TableGrid"/>
        <w:tblW w:type="auto" w:w="0"/>
        <w:jc w:val="center"/>
        <w:tblLook w:firstColumn="1" w:firstRow="1" w:lastColumn="0" w:lastRow="0" w:noHBand="0" w:noVBand="1" w:val="04A0"/>
      </w:tblPr>
      <w:tblGrid>
        <w:gridCol w:w="5112"/>
        <w:gridCol w:w="5112"/>
      </w:tblGrid>
      <w:tr>
        <w:tc>
          <w:tcPr>
            <w:tcW w:type="dxa" w:w="5112"/>
          </w:tcPr>
          <w:p>
            <w:r>
              <w:t>Folder</w:t>
            </w:r>
          </w:p>
        </w:tc>
        <w:tc>
          <w:tcPr>
            <w:tcW w:type="dxa" w:w="5112"/>
          </w:tcPr>
          <w:p>
            <w:r>
              <w:t>Contents</w:t>
            </w:r>
          </w:p>
        </w:tc>
      </w:tr>
      <w:tr>
        <w:tc>
          <w:tcPr>
            <w:tcW w:type="dxa" w:w="5112"/>
          </w:tcPr>
          <w:p>
            <w:r>
              <w:t>01_Master Logo</w:t>
            </w:r>
          </w:p>
        </w:tc>
        <w:tc>
          <w:tcPr>
            <w:tcW w:type="dxa" w:w="5112"/>
          </w:tcPr>
          <w:p>
            <w:r>
              <w:t>Vector/logo masters and approved exports.</w:t>
            </w:r>
          </w:p>
        </w:tc>
      </w:tr>
      <w:tr>
        <w:tc>
          <w:tcPr>
            <w:tcW w:type="dxa" w:w="5112"/>
          </w:tcPr>
          <w:p>
            <w:r>
              <w:t>02_Color</w:t>
            </w:r>
          </w:p>
        </w:tc>
        <w:tc>
          <w:tcPr>
            <w:tcW w:type="dxa" w:w="5112"/>
          </w:tcPr>
          <w:p>
            <w:r>
              <w:t>Palette and design tokens.</w:t>
            </w:r>
          </w:p>
        </w:tc>
      </w:tr>
      <w:tr>
        <w:tc>
          <w:tcPr>
            <w:tcW w:type="dxa" w:w="5112"/>
          </w:tcPr>
          <w:p>
            <w:r>
              <w:t>03_Typography</w:t>
            </w:r>
          </w:p>
        </w:tc>
        <w:tc>
          <w:tcPr>
            <w:tcW w:type="dxa" w:w="5112"/>
          </w:tcPr>
          <w:p>
            <w:r>
              <w:t>Font licenses/specifications and hierarchy.</w:t>
            </w:r>
          </w:p>
        </w:tc>
      </w:tr>
      <w:tr>
        <w:tc>
          <w:tcPr>
            <w:tcW w:type="dxa" w:w="5112"/>
          </w:tcPr>
          <w:p>
            <w:r>
              <w:t>04_Icons</w:t>
            </w:r>
          </w:p>
        </w:tc>
        <w:tc>
          <w:tcPr>
            <w:tcW w:type="dxa" w:w="5112"/>
          </w:tcPr>
          <w:p>
            <w:r>
              <w:t>Approved icon family.</w:t>
            </w:r>
          </w:p>
        </w:tc>
      </w:tr>
      <w:tr>
        <w:tc>
          <w:tcPr>
            <w:tcW w:type="dxa" w:w="5112"/>
          </w:tcPr>
          <w:p>
            <w:r>
              <w:t>05_Photography</w:t>
            </w:r>
          </w:p>
        </w:tc>
        <w:tc>
          <w:tcPr>
            <w:tcW w:type="dxa" w:w="5112"/>
          </w:tcPr>
          <w:p>
            <w:r>
              <w:t>Approved/licensed images.</w:t>
            </w:r>
          </w:p>
        </w:tc>
      </w:tr>
      <w:tr>
        <w:tc>
          <w:tcPr>
            <w:tcW w:type="dxa" w:w="5112"/>
          </w:tcPr>
          <w:p>
            <w:r>
              <w:t>06_Templates</w:t>
            </w:r>
          </w:p>
        </w:tc>
        <w:tc>
          <w:tcPr>
            <w:tcW w:type="dxa" w:w="5112"/>
          </w:tcPr>
          <w:p>
            <w:r>
              <w:t>Social, presentation, document and marketing templates.</w:t>
            </w:r>
          </w:p>
        </w:tc>
      </w:tr>
      <w:tr>
        <w:tc>
          <w:tcPr>
            <w:tcW w:type="dxa" w:w="5112"/>
          </w:tcPr>
          <w:p>
            <w:r>
              <w:t>07_Campaigns</w:t>
            </w:r>
          </w:p>
        </w:tc>
        <w:tc>
          <w:tcPr>
            <w:tcW w:type="dxa" w:w="5112"/>
          </w:tcPr>
          <w:p>
            <w:r>
              <w:t>Approved campaign creative.</w:t>
            </w:r>
          </w:p>
        </w:tc>
      </w:tr>
      <w:tr>
        <w:tc>
          <w:tcPr>
            <w:tcW w:type="dxa" w:w="5112"/>
          </w:tcPr>
          <w:p>
            <w:r>
              <w:t>08_Guidelines</w:t>
            </w:r>
          </w:p>
        </w:tc>
        <w:tc>
          <w:tcPr>
            <w:tcW w:type="dxa" w:w="5112"/>
          </w:tcPr>
          <w:p>
            <w:r>
              <w:t>Brand strategy and identity documents.</w:t>
            </w:r>
          </w:p>
        </w:tc>
      </w:tr>
    </w:tbl>
    <w:p>
      <w:pPr>
        <w:pStyle w:val="Heading1"/>
      </w:pPr>
      <w:r>
        <w:t>31. What the Brand Must Feel Like</w:t>
      </w:r>
    </w:p>
    <w:tbl>
      <w:tblPr>
        <w:tblStyle w:val="TableGrid"/>
        <w:tblW w:type="auto" w:w="0"/>
        <w:jc w:val="center"/>
        <w:tblLook w:firstColumn="1" w:firstRow="1" w:lastColumn="0" w:lastRow="0" w:noHBand="0" w:noVBand="1" w:val="04A0"/>
      </w:tblPr>
      <w:tblGrid>
        <w:gridCol w:w="5112"/>
        <w:gridCol w:w="5112"/>
      </w:tblGrid>
      <w:tr>
        <w:tc>
          <w:tcPr>
            <w:tcW w:type="dxa" w:w="5112"/>
          </w:tcPr>
          <w:p>
            <w:r>
              <w:t>Should Feel</w:t>
            </w:r>
          </w:p>
        </w:tc>
        <w:tc>
          <w:tcPr>
            <w:tcW w:type="dxa" w:w="5112"/>
          </w:tcPr>
          <w:p>
            <w:r>
              <w:t>Should Not Feel</w:t>
            </w:r>
          </w:p>
        </w:tc>
      </w:tr>
      <w:tr>
        <w:tc>
          <w:tcPr>
            <w:tcW w:type="dxa" w:w="5112"/>
          </w:tcPr>
          <w:p>
            <w:r>
              <w:t>Trusted</w:t>
            </w:r>
          </w:p>
        </w:tc>
        <w:tc>
          <w:tcPr>
            <w:tcW w:type="dxa" w:w="5112"/>
          </w:tcPr>
          <w:p>
            <w:r>
              <w:t>Uncertain</w:t>
            </w:r>
          </w:p>
        </w:tc>
      </w:tr>
      <w:tr>
        <w:tc>
          <w:tcPr>
            <w:tcW w:type="dxa" w:w="5112"/>
          </w:tcPr>
          <w:p>
            <w:r>
              <w:t>Human</w:t>
            </w:r>
          </w:p>
        </w:tc>
        <w:tc>
          <w:tcPr>
            <w:tcW w:type="dxa" w:w="5112"/>
          </w:tcPr>
          <w:p>
            <w:r>
              <w:t>Corporate and distant</w:t>
            </w:r>
          </w:p>
        </w:tc>
      </w:tr>
      <w:tr>
        <w:tc>
          <w:tcPr>
            <w:tcW w:type="dxa" w:w="5112"/>
          </w:tcPr>
          <w:p>
            <w:r>
              <w:t>Modern</w:t>
            </w:r>
          </w:p>
        </w:tc>
        <w:tc>
          <w:tcPr>
            <w:tcW w:type="dxa" w:w="5112"/>
          </w:tcPr>
          <w:p>
            <w:r>
              <w:t>Tech for tech's sake</w:t>
            </w:r>
          </w:p>
        </w:tc>
      </w:tr>
      <w:tr>
        <w:tc>
          <w:tcPr>
            <w:tcW w:type="dxa" w:w="5112"/>
          </w:tcPr>
          <w:p>
            <w:r>
              <w:t>Capable</w:t>
            </w:r>
          </w:p>
        </w:tc>
        <w:tc>
          <w:tcPr>
            <w:tcW w:type="dxa" w:w="5112"/>
          </w:tcPr>
          <w:p>
            <w:r>
              <w:t>Chaotic</w:t>
            </w:r>
          </w:p>
        </w:tc>
      </w:tr>
      <w:tr>
        <w:tc>
          <w:tcPr>
            <w:tcW w:type="dxa" w:w="5112"/>
          </w:tcPr>
          <w:p>
            <w:r>
              <w:t>Calm</w:t>
            </w:r>
          </w:p>
        </w:tc>
        <w:tc>
          <w:tcPr>
            <w:tcW w:type="dxa" w:w="5112"/>
          </w:tcPr>
          <w:p>
            <w:r>
              <w:t>Anxious</w:t>
            </w:r>
          </w:p>
        </w:tc>
      </w:tr>
      <w:tr>
        <w:tc>
          <w:tcPr>
            <w:tcW w:type="dxa" w:w="5112"/>
          </w:tcPr>
          <w:p>
            <w:r>
              <w:t>Premium through clarity</w:t>
            </w:r>
          </w:p>
        </w:tc>
        <w:tc>
          <w:tcPr>
            <w:tcW w:type="dxa" w:w="5112"/>
          </w:tcPr>
          <w:p>
            <w:r>
              <w:t>Luxury for show</w:t>
            </w:r>
          </w:p>
        </w:tc>
      </w:tr>
      <w:tr>
        <w:tc>
          <w:tcPr>
            <w:tcW w:type="dxa" w:w="5112"/>
          </w:tcPr>
          <w:p>
            <w:r>
              <w:t>Nigerian and contemporary</w:t>
            </w:r>
          </w:p>
        </w:tc>
        <w:tc>
          <w:tcPr>
            <w:tcW w:type="dxa" w:w="5112"/>
          </w:tcPr>
          <w:p>
            <w:r>
              <w:t>Stereotypically African</w:t>
            </w:r>
          </w:p>
        </w:tc>
      </w:tr>
      <w:tr>
        <w:tc>
          <w:tcPr>
            <w:tcW w:type="dxa" w:w="5112"/>
          </w:tcPr>
          <w:p>
            <w:r>
              <w:t>Accountable</w:t>
            </w:r>
          </w:p>
        </w:tc>
        <w:tc>
          <w:tcPr>
            <w:tcW w:type="dxa" w:w="5112"/>
          </w:tcPr>
          <w:p>
            <w:r>
              <w:t>Anonymous</w:t>
            </w:r>
          </w:p>
        </w:tc>
      </w:tr>
    </w:tbl>
    <w:p>
      <w:pPr>
        <w:pStyle w:val="Heading1"/>
      </w:pPr>
      <w:r>
        <w:t>32. Logo Concept Guardrail</w:t>
      </w:r>
    </w:p>
    <w:p>
      <w:r>
        <w:rPr>
          <w:b/>
        </w:rPr>
        <w:t>The current preferred visual direction is the abstract arc + ball concept, with the arc adjusted upward enough to avoid reading as an eye.</w:t>
      </w:r>
    </w:p>
    <w:p>
      <w:r>
        <w:rPr>
          <w:b w:val="0"/>
        </w:rPr>
        <w:t>This is a conceptual design instruction, not a final production specification. The final logo master should be judged at small size, in monochrome, on light/dark backgrounds and alongside the tagline before being locked.</w:t>
      </w:r>
    </w:p>
    <w:p>
      <w:pPr>
        <w:pStyle w:val="Heading1"/>
      </w:pPr>
      <w:r>
        <w:t>33. Brand System Expansion</w:t>
      </w:r>
    </w:p>
    <w:p>
      <w:r>
        <w:rPr>
          <w:b w:val="0"/>
        </w:rPr>
        <w:t>Once the master identity is approved, the system can expand into:</w:t>
      </w:r>
    </w:p>
    <w:p>
      <w:pPr>
        <w:pStyle w:val="ListBullet"/>
      </w:pPr>
      <w:r>
        <w:t>Website design system.</w:t>
      </w:r>
    </w:p>
    <w:p>
      <w:pPr>
        <w:pStyle w:val="ListBullet"/>
      </w:pPr>
      <w:r>
        <w:t>Product UI design tokens.</w:t>
      </w:r>
    </w:p>
    <w:p>
      <w:pPr>
        <w:pStyle w:val="ListBullet"/>
      </w:pPr>
      <w:r>
        <w:t>Social media templates.</w:t>
      </w:r>
    </w:p>
    <w:p>
      <w:pPr>
        <w:pStyle w:val="ListBullet"/>
      </w:pPr>
      <w:r>
        <w:t>Campaign templates.</w:t>
      </w:r>
    </w:p>
    <w:p>
      <w:pPr>
        <w:pStyle w:val="ListBullet"/>
      </w:pPr>
      <w:r>
        <w:t>Sales/partnership decks.</w:t>
      </w:r>
    </w:p>
    <w:p>
      <w:pPr>
        <w:pStyle w:val="ListBullet"/>
      </w:pPr>
      <w:r>
        <w:t>Customer reports.</w:t>
      </w:r>
    </w:p>
    <w:p>
      <w:pPr>
        <w:pStyle w:val="ListBullet"/>
      </w:pPr>
      <w:r>
        <w:t>Field representative materials.</w:t>
      </w:r>
    </w:p>
    <w:p>
      <w:pPr>
        <w:pStyle w:val="ListBullet"/>
      </w:pPr>
      <w:r>
        <w:t>Digital certificates/verification artifacts where appropriate.</w:t>
      </w:r>
    </w:p>
    <w:p>
      <w:pPr>
        <w:pStyle w:val="ListBullet"/>
      </w:pPr>
      <w:r>
        <w:t>Event/community materials.</w:t>
      </w:r>
    </w:p>
    <w:p>
      <w:pPr>
        <w:pStyle w:val="ListBullet"/>
      </w:pPr>
      <w:r>
        <w:t>Future physical touchpoints.</w:t>
      </w:r>
    </w:p>
    <w:p>
      <w:pPr>
        <w:pStyle w:val="Heading1"/>
      </w:pPr>
      <w:r>
        <w:t>34. Brand Decision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Status</w:t>
            </w:r>
          </w:p>
        </w:tc>
        <w:tc>
          <w:tcPr>
            <w:tcW w:type="dxa" w:w="2556"/>
          </w:tcPr>
          <w:p>
            <w:r>
              <w:t>Owner</w:t>
            </w:r>
          </w:p>
        </w:tc>
        <w:tc>
          <w:tcPr>
            <w:tcW w:type="dxa" w:w="2556"/>
          </w:tcPr>
          <w:p>
            <w:r>
              <w:t>Date</w:t>
            </w:r>
          </w:p>
        </w:tc>
      </w:tr>
      <w:tr>
        <w:tc>
          <w:tcPr>
            <w:tcW w:type="dxa" w:w="2556"/>
          </w:tcPr>
          <w:p>
            <w:r>
              <w:t>Primary tagline: Your Trusted Rep Back Home</w:t>
            </w:r>
          </w:p>
        </w:tc>
        <w:tc>
          <w:tcPr>
            <w:tcW w:type="dxa" w:w="2556"/>
          </w:tcPr>
          <w:p>
            <w:r>
              <w:t>Proposed/approved direction</w:t>
            </w:r>
          </w:p>
        </w:tc>
        <w:tc>
          <w:tcPr>
            <w:tcW w:type="dxa" w:w="2556"/>
          </w:tcPr>
          <w:p>
            <w:r/>
          </w:p>
        </w:tc>
        <w:tc>
          <w:tcPr>
            <w:tcW w:type="dxa" w:w="2556"/>
          </w:tcPr>
          <w:p>
            <w:r/>
          </w:p>
        </w:tc>
      </w:tr>
      <w:tr>
        <w:tc>
          <w:tcPr>
            <w:tcW w:type="dxa" w:w="2556"/>
          </w:tcPr>
          <w:p>
            <w:r>
              <w:t>Logo concept: arc + ball</w:t>
            </w:r>
          </w:p>
        </w:tc>
        <w:tc>
          <w:tcPr>
            <w:tcW w:type="dxa" w:w="2556"/>
          </w:tcPr>
          <w:p>
            <w:r>
              <w:t>Preferred concept</w:t>
            </w:r>
          </w:p>
        </w:tc>
        <w:tc>
          <w:tcPr>
            <w:tcW w:type="dxa" w:w="2556"/>
          </w:tcPr>
          <w:p>
            <w:r/>
          </w:p>
        </w:tc>
        <w:tc>
          <w:tcPr>
            <w:tcW w:type="dxa" w:w="2556"/>
          </w:tcPr>
          <w:p>
            <w:r/>
          </w:p>
        </w:tc>
      </w:tr>
      <w:tr>
        <w:tc>
          <w:tcPr>
            <w:tcW w:type="dxa" w:w="2556"/>
          </w:tcPr>
          <w:p>
            <w:r>
              <w:t>Handshake concept</w:t>
            </w:r>
          </w:p>
        </w:tc>
        <w:tc>
          <w:tcPr>
            <w:tcW w:type="dxa" w:w="2556"/>
          </w:tcPr>
          <w:p>
            <w:r>
              <w:t>Rejected direction</w:t>
            </w:r>
          </w:p>
        </w:tc>
        <w:tc>
          <w:tcPr>
            <w:tcW w:type="dxa" w:w="2556"/>
          </w:tcPr>
          <w:p>
            <w:r/>
          </w:p>
        </w:tc>
        <w:tc>
          <w:tcPr>
            <w:tcW w:type="dxa" w:w="2556"/>
          </w:tcPr>
          <w:p>
            <w:r/>
          </w:p>
        </w:tc>
      </w:tr>
      <w:tr>
        <w:tc>
          <w:tcPr>
            <w:tcW w:type="dxa" w:w="2556"/>
          </w:tcPr>
          <w:p>
            <w:r>
              <w:t>Brand territory: Representation from a distance</w:t>
            </w:r>
          </w:p>
        </w:tc>
        <w:tc>
          <w:tcPr>
            <w:tcW w:type="dxa" w:w="2556"/>
          </w:tcPr>
          <w:p>
            <w:r>
              <w:t>Approved direction</w:t>
            </w:r>
          </w:p>
        </w:tc>
        <w:tc>
          <w:tcPr>
            <w:tcW w:type="dxa" w:w="2556"/>
          </w:tcPr>
          <w:p>
            <w:r/>
          </w:p>
        </w:tc>
        <w:tc>
          <w:tcPr>
            <w:tcW w:type="dxa" w:w="2556"/>
          </w:tcPr>
          <w:p>
            <w:r/>
          </w:p>
        </w:tc>
      </w:tr>
      <w:tr>
        <w:tc>
          <w:tcPr>
            <w:tcW w:type="dxa" w:w="2556"/>
          </w:tcPr>
          <w:p>
            <w:r>
              <w:t>Core association: trusted representation for diaspora in Nigeria</w:t>
            </w:r>
          </w:p>
        </w:tc>
        <w:tc>
          <w:tcPr>
            <w:tcW w:type="dxa" w:w="2556"/>
          </w:tcPr>
          <w:p>
            <w:r>
              <w:t>Approved direction</w:t>
            </w:r>
          </w:p>
        </w:tc>
        <w:tc>
          <w:tcPr>
            <w:tcW w:type="dxa" w:w="2556"/>
          </w:tcPr>
          <w:p>
            <w:r/>
          </w:p>
        </w:tc>
        <w:tc>
          <w:tcPr>
            <w:tcW w:type="dxa" w:w="2556"/>
          </w:tcPr>
          <w:p>
            <w:r/>
          </w:p>
        </w:tc>
      </w:tr>
      <w:tr>
        <w:tc>
          <w:tcPr>
            <w:tcW w:type="dxa" w:w="2556"/>
          </w:tcPr>
          <w:p>
            <w:r>
              <w:t>Final color values</w:t>
            </w:r>
          </w:p>
        </w:tc>
        <w:tc>
          <w:tcPr>
            <w:tcW w:type="dxa" w:w="2556"/>
          </w:tcPr>
          <w:p>
            <w:r>
              <w:t>To lock</w:t>
            </w:r>
          </w:p>
        </w:tc>
        <w:tc>
          <w:tcPr>
            <w:tcW w:type="dxa" w:w="2556"/>
          </w:tcPr>
          <w:p>
            <w:r/>
          </w:p>
        </w:tc>
        <w:tc>
          <w:tcPr>
            <w:tcW w:type="dxa" w:w="2556"/>
          </w:tcPr>
          <w:p>
            <w:r/>
          </w:p>
        </w:tc>
      </w:tr>
      <w:tr>
        <w:tc>
          <w:tcPr>
            <w:tcW w:type="dxa" w:w="2556"/>
          </w:tcPr>
          <w:p>
            <w:r>
              <w:t>Final font family</w:t>
            </w:r>
          </w:p>
        </w:tc>
        <w:tc>
          <w:tcPr>
            <w:tcW w:type="dxa" w:w="2556"/>
          </w:tcPr>
          <w:p>
            <w:r>
              <w:t>To lock</w:t>
            </w:r>
          </w:p>
        </w:tc>
        <w:tc>
          <w:tcPr>
            <w:tcW w:type="dxa" w:w="2556"/>
          </w:tcPr>
          <w:p>
            <w:r/>
          </w:p>
        </w:tc>
        <w:tc>
          <w:tcPr>
            <w:tcW w:type="dxa" w:w="2556"/>
          </w:tcPr>
          <w:p>
            <w:r/>
          </w:p>
        </w:tc>
      </w:tr>
      <w:tr>
        <w:tc>
          <w:tcPr>
            <w:tcW w:type="dxa" w:w="2556"/>
          </w:tcPr>
          <w:p>
            <w:r>
              <w:t>Final vector logo master</w:t>
            </w:r>
          </w:p>
        </w:tc>
        <w:tc>
          <w:tcPr>
            <w:tcW w:type="dxa" w:w="2556"/>
          </w:tcPr>
          <w:p>
            <w:r>
              <w:t>To lock</w:t>
            </w:r>
          </w:p>
        </w:tc>
        <w:tc>
          <w:tcPr>
            <w:tcW w:type="dxa" w:w="2556"/>
          </w:tcPr>
          <w:p>
            <w:r/>
          </w:p>
        </w:tc>
        <w:tc>
          <w:tcPr>
            <w:tcW w:type="dxa" w:w="2556"/>
          </w:tcPr>
          <w:p>
            <w:r/>
          </w:p>
        </w:tc>
      </w:tr>
    </w:tbl>
    <w:p>
      <w:pPr>
        <w:pStyle w:val="Heading1"/>
      </w:pPr>
      <w:r>
        <w:t>35. Immediate Design Priorities</w:t>
      </w:r>
    </w:p>
    <w:p>
      <w:pPr>
        <w:pStyle w:val="ListNumber"/>
      </w:pPr>
      <w:r>
        <w:t>Finalize the approved logo geometry.</w:t>
      </w:r>
    </w:p>
    <w:p>
      <w:pPr>
        <w:pStyle w:val="ListNumber"/>
      </w:pPr>
      <w:r>
        <w:t>Produce primary, compact, symbol and monochrome logo masters.</w:t>
      </w:r>
    </w:p>
    <w:p>
      <w:pPr>
        <w:pStyle w:val="ListNumber"/>
      </w:pPr>
      <w:r>
        <w:t>Lock exact color values.</w:t>
      </w:r>
    </w:p>
    <w:p>
      <w:pPr>
        <w:pStyle w:val="ListNumber"/>
      </w:pPr>
      <w:r>
        <w:t>Lock typography.</w:t>
      </w:r>
    </w:p>
    <w:p>
      <w:pPr>
        <w:pStyle w:val="ListNumber"/>
      </w:pPr>
      <w:r>
        <w:t>Build a small digital design system.</w:t>
      </w:r>
    </w:p>
    <w:p>
      <w:pPr>
        <w:pStyle w:val="ListNumber"/>
      </w:pPr>
      <w:r>
        <w:t>Create website/landing-page visual direction.</w:t>
      </w:r>
    </w:p>
    <w:p>
      <w:pPr>
        <w:pStyle w:val="ListNumber"/>
      </w:pPr>
      <w:r>
        <w:t>Create social media template system.</w:t>
      </w:r>
    </w:p>
    <w:p>
      <w:pPr>
        <w:pStyle w:val="ListNumber"/>
      </w:pPr>
      <w:r>
        <w:t>Create customer report/document template.</w:t>
      </w:r>
    </w:p>
    <w:p>
      <w:pPr>
        <w:pStyle w:val="ListNumber"/>
      </w:pPr>
      <w:r>
        <w:t>Create presentation template.</w:t>
      </w:r>
    </w:p>
    <w:p>
      <w:pPr>
        <w:pStyle w:val="ListNumber"/>
      </w:pPr>
      <w:r>
        <w:t>Create campaign visual toolkit.</w:t>
      </w:r>
    </w:p>
    <w:p>
      <w:pPr>
        <w:pStyle w:val="Heading1"/>
      </w:pPr>
      <w:r>
        <w:t>36. Final Visual Principle</w:t>
      </w:r>
    </w:p>
    <w:p>
      <w:r>
        <w:rPr>
          <w:b/>
        </w:rPr>
        <w:t>ASOJU should look like the brand you call when something important needs a trusted person back home.</w:t>
      </w:r>
    </w:p>
    <w:p>
      <w:r>
        <w:rPr>
          <w:b w:val="0"/>
        </w:rPr>
        <w:t>The identity should never feel like a generic errand company. It should feel like a modern, trustworthy extension of the customer's presence in Nigeria.</w:t>
      </w:r>
    </w:p>
    <w:p>
      <w:r>
        <w:rPr>
          <w:b/>
        </w:rPr>
        <w:t>ASOJU — Your Trusted Rep Back Home.</w:t>
      </w:r>
    </w:p>
    <w:p>
      <w:pPr>
        <w:pStyle w:val="Heading1"/>
      </w:pPr>
      <w:r>
        <w:t>37. Governance</w:t>
      </w:r>
    </w:p>
    <w:p>
      <w:r>
        <w:rPr>
          <w:b w:val="0"/>
        </w:rPr>
        <w:t>Document owner: ASOJU Brand / Product / Marketing.</w:t>
      </w:r>
    </w:p>
    <w:p>
      <w:r>
        <w:rPr>
          <w:b w:val="0"/>
        </w:rPr>
        <w:t>Version: 1.0 | Visual Identity Foundation.</w:t>
      </w:r>
    </w:p>
    <w:p>
      <w:r>
        <w:rPr>
          <w:b w:val="0"/>
        </w:rPr>
        <w:t>This guideline should be updated when final production logo, color and typography decisions are approved.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