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jc w:val="center"/>
      </w:pPr>
      <w:r>
        <w:rPr>
          <w:rFonts w:ascii="Georgia" w:cs="Georgia" w:eastAsia="Georgia" w:hAnsi="Georgia"/>
          <w:b/>
          <w:bCs/>
          <w:color w:val="0B4F42"/>
          <w:sz w:val="72"/>
          <w:szCs w:val="72"/>
        </w:rPr>
        <w:t xml:space="preserve">ASOJU</w:t>
      </w:r>
    </w:p>
    <w:p>
      <w:pPr>
        <w:spacing w:after="40" w:before="120"/>
        <w:jc w:val="center"/>
      </w:pPr>
      <w:r>
        <w:rPr>
          <w:rFonts w:ascii="Georgia" w:cs="Georgia" w:eastAsia="Georgia" w:hAnsi="Georgia"/>
          <w:i/>
          <w:iCs/>
          <w:color w:val="5B6472"/>
          <w:sz w:val="26"/>
          <w:szCs w:val="26"/>
        </w:rPr>
        <w:t xml:space="preserve">Your trusted presence back home.</w:t>
      </w:r>
    </w:p>
    <w:p>
      <w:pPr>
        <w:spacing w:after="0" w:before="400"/>
        <w:jc w:val="center"/>
      </w:pPr>
      <w:r>
        <w:rPr>
          <w:rFonts w:ascii="Calibri" w:cs="Calibri" w:eastAsia="Calibri" w:hAnsi="Calibri"/>
          <w:b/>
          <w:bCs/>
          <w:color w:val="1A2233"/>
          <w:spacing w:val="40"/>
          <w:sz w:val="22"/>
          <w:szCs w:val="22"/>
        </w:rPr>
        <w:t xml:space="preserve">PLATFORM BUILD DOCUMENTATION</w:t>
      </w:r>
    </w:p>
    <w:p>
      <w:pPr>
        <w:spacing w:after="0" w:before="100"/>
        <w:jc w:val="center"/>
      </w:pPr>
      <w:r>
        <w:rPr>
          <w:rFonts w:ascii="Calibri" w:cs="Calibri" w:eastAsia="Calibri" w:hAnsi="Calibri"/>
          <w:color w:val="5B6472"/>
          <w:sz w:val="20"/>
          <w:szCs w:val="20"/>
        </w:rPr>
        <w:t xml:space="preserve">A comprehensive record of what has been designed, built, and verified</w:t>
      </w:r>
    </w:p>
    <w:p>
      <w:pPr>
        <w:spacing w:before="700"/>
        <w:jc w:val="center"/>
      </w:pPr>
      <w:r>
        <w:rPr>
          <w:rFonts w:ascii="Calibri" w:cs="Calibri" w:eastAsia="Calibri" w:hAnsi="Calibri"/>
          <w:color w:val="5B6472"/>
          <w:sz w:val="19"/>
          <w:szCs w:val="19"/>
        </w:rPr>
        <w:t xml:space="preserve">August 10, 2026</w:t>
      </w:r>
    </w:p>
    <w:p>
      <w:pPr>
        <w:spacing w:before="900"/>
      </w:pPr>
      <w:r>
        <w:br w:type="page"/>
      </w:r>
    </w:p>
    <w:p>
      <w:pPr>
        <w:pStyle w:val="Heading1"/>
        <w:pBdr>
          <w:bottom w:val="single" w:color="0F6E5C" w:sz="8" w:space="6"/>
        </w:pBdr>
        <w:spacing w:after="200" w:before="480"/>
      </w:pPr>
      <w:r>
        <w:rPr>
          <w:rFonts w:ascii="Georgia" w:cs="Georgia" w:eastAsia="Georgia" w:hAnsi="Georgia"/>
          <w:b/>
          <w:bCs/>
          <w:color w:val="0B4F42"/>
          <w:sz w:val="30"/>
          <w:szCs w:val="30"/>
        </w:rPr>
        <w:t xml:space="preserve">1. Executive Summary</w:t>
      </w:r>
    </w:p>
    <w:p>
      <w:pPr>
        <w:spacing w:after="160" w:line="300"/>
      </w:pPr>
      <w:r>
        <w:rPr>
          <w:rFonts w:ascii="Calibri" w:cs="Calibri" w:eastAsia="Calibri" w:hAnsi="Calibri"/>
          <w:color w:val="1A2233"/>
          <w:sz w:val="21"/>
          <w:szCs w:val="21"/>
        </w:rPr>
        <w:t xml:space="preserve">ASOJU is a diaspora support and trusted-execution platform helping Nigerians abroad verify, manage, and execute important tasks in Nigeria without being physically present — property inspections, construction supervision, asset checks, and a growing set of related services, backed by a real field-execution and evidence pipeline rather than a directory of contractors.</w:t>
      </w:r>
    </w:p>
    <w:p>
      <w:pPr>
        <w:spacing w:after="160" w:line="300"/>
      </w:pPr>
      <w:r>
        <w:rPr>
          <w:rFonts w:ascii="Calibri" w:cs="Calibri" w:eastAsia="Calibri" w:hAnsi="Calibri"/>
          <w:color w:val="1A2233"/>
          <w:sz w:val="21"/>
          <w:szCs w:val="21"/>
        </w:rPr>
        <w:t xml:space="preserve">The platform is built as a modular monolith (NestJS + Prisma + PostgreSQL on the backend, Next.js on the frontend) directly against a written product specification, not from a generic template. Every feature below traces to a specific section of that specification or to a deliberate, explicitly-reasoned follow-on decision — nothing in this build is decorative or speculative.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5%"/>
            <w:shd w:fill="F2F6F4" w:color="auto" w:val="clear"/>
            <w:tcMar>
              <w:top w:type="dxa" w:w="200"/>
              <w:left w:type="dxa" w:w="160"/>
              <w:bottom w:type="dxa" w:w="200"/>
              <w:right w:type="dxa" w:w="160"/>
            </w:tcMar>
          </w:tcPr>
          <w:p>
            <w:pPr>
              <w:spacing w:after="40"/>
              <w:jc w:val="center"/>
            </w:pPr>
            <w:r>
              <w:rPr>
                <w:rFonts w:ascii="Georgia" w:cs="Georgia" w:eastAsia="Georgia" w:hAnsi="Georgia"/>
                <w:b/>
                <w:bCs/>
                <w:color w:val="0B4F42"/>
                <w:sz w:val="32"/>
                <w:szCs w:val="32"/>
              </w:rPr>
              <w:t xml:space="preserve">7 / 7</w:t>
            </w:r>
          </w:p>
          <w:p>
            <w:pPr>
              <w:jc w:val="center"/>
            </w:pPr>
            <w:r>
              <w:rPr>
                <w:rFonts w:ascii="Calibri" w:cs="Calibri" w:eastAsia="Calibri" w:hAnsi="Calibri"/>
                <w:color w:val="5B6472"/>
                <w:sz w:val="16"/>
                <w:szCs w:val="16"/>
              </w:rPr>
              <w:t xml:space="preserve">Golden-path slices live, end-to-end</w:t>
            </w:r>
          </w:p>
        </w:tc>
        <w:tc>
          <w:tcPr>
            <w:tcW w:type="pct" w:w="25%"/>
            <w:shd w:fill="F2F6F4" w:color="auto" w:val="clear"/>
            <w:tcMar>
              <w:top w:type="dxa" w:w="200"/>
              <w:left w:type="dxa" w:w="160"/>
              <w:bottom w:type="dxa" w:w="200"/>
              <w:right w:type="dxa" w:w="160"/>
            </w:tcMar>
          </w:tcPr>
          <w:p>
            <w:pPr>
              <w:spacing w:after="40"/>
              <w:jc w:val="center"/>
            </w:pPr>
            <w:r>
              <w:rPr>
                <w:rFonts w:ascii="Georgia" w:cs="Georgia" w:eastAsia="Georgia" w:hAnsi="Georgia"/>
                <w:b/>
                <w:bCs/>
                <w:color w:val="0B4F42"/>
                <w:sz w:val="32"/>
                <w:szCs w:val="32"/>
              </w:rPr>
              <w:t xml:space="preserve">195</w:t>
            </w:r>
          </w:p>
          <w:p>
            <w:pPr>
              <w:jc w:val="center"/>
            </w:pPr>
            <w:r>
              <w:rPr>
                <w:rFonts w:ascii="Calibri" w:cs="Calibri" w:eastAsia="Calibri" w:hAnsi="Calibri"/>
                <w:color w:val="5B6472"/>
                <w:sz w:val="16"/>
                <w:szCs w:val="16"/>
              </w:rPr>
              <w:t xml:space="preserve">Automated tests, real Postgres</w:t>
            </w:r>
          </w:p>
        </w:tc>
        <w:tc>
          <w:tcPr>
            <w:tcW w:type="pct" w:w="25%"/>
            <w:shd w:fill="F2F6F4" w:color="auto" w:val="clear"/>
            <w:tcMar>
              <w:top w:type="dxa" w:w="200"/>
              <w:left w:type="dxa" w:w="160"/>
              <w:bottom w:type="dxa" w:w="200"/>
              <w:right w:type="dxa" w:w="160"/>
            </w:tcMar>
          </w:tcPr>
          <w:p>
            <w:pPr>
              <w:spacing w:after="40"/>
              <w:jc w:val="center"/>
            </w:pPr>
            <w:r>
              <w:rPr>
                <w:rFonts w:ascii="Georgia" w:cs="Georgia" w:eastAsia="Georgia" w:hAnsi="Georgia"/>
                <w:b/>
                <w:bCs/>
                <w:color w:val="0B4F42"/>
                <w:sz w:val="32"/>
                <w:szCs w:val="32"/>
              </w:rPr>
              <w:t xml:space="preserve">28</w:t>
            </w:r>
          </w:p>
          <w:p>
            <w:pPr>
              <w:jc w:val="center"/>
            </w:pPr>
            <w:r>
              <w:rPr>
                <w:rFonts w:ascii="Calibri" w:cs="Calibri" w:eastAsia="Calibri" w:hAnsi="Calibri"/>
                <w:color w:val="5B6472"/>
                <w:sz w:val="16"/>
                <w:szCs w:val="16"/>
              </w:rPr>
              <w:t xml:space="preserve">Test suites</w:t>
            </w:r>
          </w:p>
        </w:tc>
        <w:tc>
          <w:tcPr>
            <w:tcW w:type="pct" w:w="25%"/>
            <w:shd w:fill="F2F6F4" w:color="auto" w:val="clear"/>
            <w:tcMar>
              <w:top w:type="dxa" w:w="200"/>
              <w:left w:type="dxa" w:w="160"/>
              <w:bottom w:type="dxa" w:w="200"/>
              <w:right w:type="dxa" w:w="160"/>
            </w:tcMar>
          </w:tcPr>
          <w:p>
            <w:pPr>
              <w:spacing w:after="40"/>
              <w:jc w:val="center"/>
            </w:pPr>
            <w:r>
              <w:rPr>
                <w:rFonts w:ascii="Georgia" w:cs="Georgia" w:eastAsia="Georgia" w:hAnsi="Georgia"/>
                <w:b/>
                <w:bCs/>
                <w:color w:val="0B4F42"/>
                <w:sz w:val="32"/>
                <w:szCs w:val="32"/>
              </w:rPr>
              <w:t xml:space="preserve">11</w:t>
            </w:r>
          </w:p>
          <w:p>
            <w:pPr>
              <w:jc w:val="center"/>
            </w:pPr>
            <w:r>
              <w:rPr>
                <w:rFonts w:ascii="Calibri" w:cs="Calibri" w:eastAsia="Calibri" w:hAnsi="Calibri"/>
                <w:color w:val="5B6472"/>
                <w:sz w:val="16"/>
                <w:szCs w:val="16"/>
              </w:rPr>
              <w:t xml:space="preserve">Distinct user roles</w:t>
            </w:r>
          </w:p>
        </w:tc>
      </w:tr>
    </w:tbl>
    <w:p>
      <w:pPr>
        <w:spacing w:after="160"/>
      </w:pPr>
    </w:p>
    <w:p>
      <w:pPr>
        <w:spacing w:after="100" w:before="220"/>
      </w:pPr>
      <w:r>
        <w:rPr>
          <w:rFonts w:ascii="Calibri" w:cs="Calibri" w:eastAsia="Calibri" w:hAnsi="Calibri"/>
          <w:b/>
          <w:bCs/>
          <w:color w:val="0B4F42"/>
          <w:sz w:val="22"/>
          <w:szCs w:val="22"/>
        </w:rPr>
        <w:t xml:space="preserve">What this document covers</w:t>
      </w:r>
    </w:p>
    <w:p>
      <w:pPr>
        <w:pStyle w:val="ListParagraph"/>
        <w:numPr>
          <w:ilvl w:val="0"/>
          <w:numId w:val="1"/>
        </w:numPr>
        <w:spacing w:after="100" w:line="290"/>
      </w:pPr>
      <w:r>
        <w:rPr>
          <w:rFonts w:ascii="Calibri" w:cs="Calibri" w:eastAsia="Calibri" w:hAnsi="Calibri"/>
          <w:color w:val="1A2233"/>
          <w:sz w:val="21"/>
          <w:szCs w:val="21"/>
        </w:rPr>
        <w:t xml:space="preserve">The complete request-to-completion case lifecycle and every actor who touches it.</w:t>
      </w:r>
    </w:p>
    <w:p>
      <w:pPr>
        <w:pStyle w:val="ListParagraph"/>
        <w:numPr>
          <w:ilvl w:val="0"/>
          <w:numId w:val="1"/>
        </w:numPr>
        <w:spacing w:after="100" w:line="290"/>
      </w:pPr>
      <w:r>
        <w:rPr>
          <w:rFonts w:ascii="Calibri" w:cs="Calibri" w:eastAsia="Calibri" w:hAnsi="Calibri"/>
          <w:color w:val="1A2233"/>
          <w:sz w:val="21"/>
          <w:szCs w:val="21"/>
        </w:rPr>
        <w:t xml:space="preserve">Every customer-, staff-, and field-facing surface that has a working UI today.</w:t>
      </w:r>
    </w:p>
    <w:p>
      <w:pPr>
        <w:pStyle w:val="ListParagraph"/>
        <w:numPr>
          <w:ilvl w:val="0"/>
          <w:numId w:val="1"/>
        </w:numPr>
        <w:spacing w:after="100" w:line="290"/>
      </w:pPr>
      <w:r>
        <w:rPr>
          <w:rFonts w:ascii="Calibri" w:cs="Calibri" w:eastAsia="Calibri" w:hAnsi="Calibri"/>
          <w:color w:val="1A2233"/>
          <w:sz w:val="21"/>
          <w:szCs w:val="21"/>
        </w:rPr>
        <w:t xml:space="preserve">The financial, security, and governance systems underneath the case engine.</w:t>
      </w:r>
    </w:p>
    <w:p>
      <w:pPr>
        <w:pStyle w:val="ListParagraph"/>
        <w:numPr>
          <w:ilvl w:val="0"/>
          <w:numId w:val="1"/>
        </w:numPr>
        <w:spacing w:after="100" w:line="290"/>
      </w:pPr>
      <w:r>
        <w:rPr>
          <w:rFonts w:ascii="Calibri" w:cs="Calibri" w:eastAsia="Calibri" w:hAnsi="Calibri"/>
          <w:color w:val="1A2233"/>
          <w:sz w:val="21"/>
          <w:szCs w:val="21"/>
        </w:rPr>
        <w:t xml:space="preserve">The testing discipline used to verify every guard and every calculation actually holds — not just that the code looks right.</w:t>
      </w:r>
    </w:p>
    <w:p>
      <w:pPr>
        <w:pStyle w:val="ListParagraph"/>
        <w:numPr>
          <w:ilvl w:val="0"/>
          <w:numId w:val="1"/>
        </w:numPr>
        <w:spacing w:after="100" w:line="290"/>
      </w:pPr>
      <w:r>
        <w:rPr>
          <w:rFonts w:ascii="Calibri" w:cs="Calibri" w:eastAsia="Calibri" w:hAnsi="Calibri"/>
          <w:color w:val="1A2233"/>
          <w:sz w:val="21"/>
          <w:szCs w:val="21"/>
        </w:rPr>
        <w:t xml:space="preserve">What has deliberately not been built yet, and why.</w:t>
      </w:r>
    </w:p>
    <w:p>
      <w:pPr>
        <w:pStyle w:val="Heading1"/>
        <w:pBdr>
          <w:bottom w:val="single" w:color="0F6E5C" w:sz="8" w:space="6"/>
        </w:pBdr>
        <w:spacing w:after="200" w:before="480"/>
      </w:pPr>
      <w:r>
        <w:rPr>
          <w:rFonts w:ascii="Georgia" w:cs="Georgia" w:eastAsia="Georgia" w:hAnsi="Georgia"/>
          <w:b/>
          <w:bCs/>
          <w:color w:val="0B4F42"/>
          <w:sz w:val="30"/>
          <w:szCs w:val="30"/>
        </w:rPr>
        <w:t xml:space="preserve">2. Architecture &amp; Technical Foundation</w:t>
      </w:r>
    </w:p>
    <w:p>
      <w:pPr>
        <w:pStyle w:val="Heading2"/>
        <w:spacing w:after="140" w:before="320"/>
      </w:pPr>
      <w:r>
        <w:rPr>
          <w:rFonts w:ascii="Georgia" w:cs="Georgia" w:eastAsia="Georgia" w:hAnsi="Georgia"/>
          <w:b/>
          <w:bCs/>
          <w:color w:val="1A2233"/>
          <w:sz w:val="24"/>
          <w:szCs w:val="24"/>
        </w:rPr>
        <w:t xml:space="preserve">2.1 Repository layout</w:t>
      </w:r>
    </w:p>
    <w:p>
      <w:pPr>
        <w:spacing w:after="160" w:line="300"/>
      </w:pPr>
      <w:r>
        <w:rPr>
          <w:rFonts w:ascii="Consolas" w:cs="Consolas" w:eastAsia="Consolas" w:hAnsi="Consolas"/>
          <w:b/>
          <w:bCs/>
          <w:i w:val="false"/>
          <w:iCs w:val="false"/>
          <w:color w:val="1A2233"/>
          <w:sz w:val="19"/>
          <w:szCs w:val="19"/>
        </w:rPr>
        <w:t xml:space="preserve">/backend</w:t>
      </w:r>
      <w:r>
        <w:rPr>
          <w:rFonts w:ascii="Calibri" w:cs="Calibri" w:eastAsia="Calibri" w:hAnsi="Calibri"/>
          <w:b w:val="false"/>
          <w:bCs w:val="false"/>
          <w:i w:val="false"/>
          <w:iCs w:val="false"/>
          <w:color w:val="1A2233"/>
          <w:sz w:val="21"/>
          <w:szCs w:val="21"/>
        </w:rPr>
        <w:t xml:space="preserve">   NestJS + Prisma + PostgreSQL — the Case Engine, the Trust &amp; Evidence Engine, AI orchestration.</w:t>
      </w:r>
    </w:p>
    <w:p>
      <w:pPr>
        <w:spacing w:after="160" w:line="300"/>
      </w:pPr>
      <w:r>
        <w:rPr>
          <w:rFonts w:ascii="Consolas" w:cs="Consolas" w:eastAsia="Consolas" w:hAnsi="Consolas"/>
          <w:b/>
          <w:bCs/>
          <w:i w:val="false"/>
          <w:iCs w:val="false"/>
          <w:color w:val="1A2233"/>
          <w:sz w:val="19"/>
          <w:szCs w:val="19"/>
        </w:rPr>
        <w:t xml:space="preserve">/frontend</w:t>
      </w:r>
      <w:r>
        <w:rPr>
          <w:rFonts w:ascii="Calibri" w:cs="Calibri" w:eastAsia="Calibri" w:hAnsi="Calibri"/>
          <w:b w:val="false"/>
          <w:bCs w:val="false"/>
          <w:i w:val="false"/>
          <w:iCs w:val="false"/>
          <w:color w:val="1A2233"/>
          <w:sz w:val="21"/>
          <w:szCs w:val="21"/>
        </w:rPr>
        <w:t xml:space="preserve">  Next.js — the customer portal, staff console, and field app (Web/PWA).</w:t>
      </w:r>
    </w:p>
    <w:p>
      <w:pPr>
        <w:spacing w:after="160" w:line="300"/>
      </w:pPr>
      <w:r>
        <w:rPr>
          <w:rFonts w:ascii="Consolas" w:cs="Consolas" w:eastAsia="Consolas" w:hAnsi="Consolas"/>
          <w:b/>
          <w:bCs/>
          <w:i w:val="false"/>
          <w:iCs w:val="false"/>
          <w:color w:val="1A2233"/>
          <w:sz w:val="19"/>
          <w:szCs w:val="19"/>
        </w:rPr>
        <w:t xml:space="preserve">/docs</w:t>
      </w:r>
      <w:r>
        <w:rPr>
          <w:rFonts w:ascii="Calibri" w:cs="Calibri" w:eastAsia="Calibri" w:hAnsi="Calibri"/>
          <w:b w:val="false"/>
          <w:bCs w:val="false"/>
          <w:i w:val="false"/>
          <w:iCs w:val="false"/>
          <w:color w:val="1A2233"/>
          <w:sz w:val="21"/>
          <w:szCs w:val="21"/>
        </w:rPr>
        <w:t xml:space="preserve">      The product requirements document every module is built against.</w:t>
      </w:r>
    </w:p>
    <w:p>
      <w:pPr>
        <w:spacing w:after="160" w:line="300"/>
      </w:pPr>
      <w:r>
        <w:rPr>
          <w:rFonts w:ascii="Calibri" w:cs="Calibri" w:eastAsia="Calibri" w:hAnsi="Calibri"/>
          <w:color w:val="1A2233"/>
          <w:sz w:val="21"/>
          <w:szCs w:val="21"/>
        </w:rPr>
        <w:t xml:space="preserve">This is a modular monolith by deliberate design choice, not microservices — one deployable backend, one deployable frontend, organized into cleanly separated NestJS modules internally.</w:t>
      </w:r>
    </w:p>
    <w:p>
      <w:pPr>
        <w:pStyle w:val="Heading2"/>
        <w:spacing w:after="140" w:before="320"/>
      </w:pPr>
      <w:r>
        <w:rPr>
          <w:rFonts w:ascii="Georgia" w:cs="Georgia" w:eastAsia="Georgia" w:hAnsi="Georgia"/>
          <w:b/>
          <w:bCs/>
          <w:color w:val="1A2233"/>
          <w:sz w:val="24"/>
          <w:szCs w:val="24"/>
        </w:rPr>
        <w:t xml:space="preserve">2.2 Foundational engineering principles, applied consistently across every feature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Deterministic business logic, never AI judgment — </w:t>
      </w:r>
      <w:r>
        <w:rPr>
          <w:rFonts w:ascii="Calibri" w:cs="Calibri" w:eastAsia="Calibri" w:hAnsi="Calibri"/>
          <w:b w:val="false"/>
          <w:bCs w:val="false"/>
          <w:i w:val="false"/>
          <w:iCs w:val="false"/>
          <w:color w:val="1A2233"/>
          <w:sz w:val="21"/>
          <w:szCs w:val="21"/>
        </w:rPr>
        <w:t xml:space="preserve">Case status transitions, refund thresholds, SLA targets, risk scores, and every other operational decision run through explicit backend code — a fixed state machine, a threshold comparison, a scoring formula. The AI Concierge can recommend and gather information; it can never move a case between states or authorize an action on its own.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Case-scoped access control, not just role-based — </w:t>
      </w:r>
      <w:r>
        <w:rPr>
          <w:rFonts w:ascii="Calibri" w:cs="Calibri" w:eastAsia="Calibri" w:hAnsi="Calibri"/>
          <w:b w:val="false"/>
          <w:bCs w:val="false"/>
          <w:i w:val="false"/>
          <w:iCs w:val="false"/>
          <w:color w:val="1A2233"/>
          <w:sz w:val="21"/>
          <w:szCs w:val="21"/>
        </w:rPr>
        <w:t xml:space="preserve">Holding a staff role is never sufficient on its own to read or act on a specific case. A dedicated guard additionally checks a real relationship to that case — ownership, an explicit collaborator attachment, an assignment, or (for the newest role) being the named beneficiary — before any case-specific data is returned.</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Dry-run-safe external integrations — </w:t>
      </w:r>
      <w:r>
        <w:rPr>
          <w:rFonts w:ascii="Calibri" w:cs="Calibri" w:eastAsia="Calibri" w:hAnsi="Calibri"/>
          <w:b w:val="false"/>
          <w:bCs w:val="false"/>
          <w:i w:val="false"/>
          <w:iCs w:val="false"/>
          <w:color w:val="1A2233"/>
          <w:sz w:val="21"/>
          <w:szCs w:val="21"/>
        </w:rPr>
        <w:t xml:space="preserve">Every third-party dependency — Paystack payments, WhatsApp messaging, transactional email, object storage, the Anthropic API — runs safely with no credentials configured: it logs what it would have done and returns a clearly-marked placeholder, rather than crashing, silently no-opping, or pretending to succeed. The same code path handles both the dry-run and the live case.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Append-only financial and audit trails — </w:t>
      </w:r>
      <w:r>
        <w:rPr>
          <w:rFonts w:ascii="Calibri" w:cs="Calibri" w:eastAsia="Calibri" w:hAnsi="Calibri"/>
          <w:b w:val="false"/>
          <w:bCs w:val="false"/>
          <w:i w:val="false"/>
          <w:iCs w:val="false"/>
          <w:color w:val="1A2233"/>
          <w:sz w:val="21"/>
          <w:szCs w:val="21"/>
        </w:rPr>
        <w:t xml:space="preserve">Money movements (refunds, reconciliations, SC ledger entries) and every material state-changing action are recorded as new rows, never as in-place field mutations — a re-review or a correction is a new entry, so the full history is always reconstructable.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Allowlist projections over denylist redaction — </w:t>
      </w:r>
      <w:r>
        <w:rPr>
          <w:rFonts w:ascii="Calibri" w:cs="Calibri" w:eastAsia="Calibri" w:hAnsi="Calibri"/>
          <w:b w:val="false"/>
          <w:bCs w:val="false"/>
          <w:i w:val="false"/>
          <w:iCs w:val="false"/>
          <w:color w:val="1A2233"/>
          <w:sz w:val="21"/>
          <w:szCs w:val="21"/>
        </w:rPr>
        <w:t xml:space="preserve">Wherever a role should see less than everything (a beneficiary's case view, a PII-restricted staff role's customer view), the query itself is narrowed to only the permitted fields, rather than fetching everything and stripping fields afterward — the sensitive data never leaves the database in the first place.</w:t>
      </w:r>
    </w:p>
    <w:p>
      <w:pPr>
        <w:pStyle w:val="Heading1"/>
        <w:pBdr>
          <w:bottom w:val="single" w:color="0F6E5C" w:sz="8" w:space="6"/>
        </w:pBdr>
        <w:spacing w:after="200" w:before="480"/>
      </w:pPr>
      <w:r>
        <w:rPr>
          <w:rFonts w:ascii="Georgia" w:cs="Georgia" w:eastAsia="Georgia" w:hAnsi="Georgia"/>
          <w:b/>
          <w:bCs/>
          <w:color w:val="0B4F42"/>
          <w:sz w:val="30"/>
          <w:szCs w:val="30"/>
        </w:rPr>
        <w:t xml:space="preserve">3. Data Model &amp; Roles</w:t>
      </w:r>
    </w:p>
    <w:p>
      <w:pPr>
        <w:pStyle w:val="Heading2"/>
        <w:spacing w:after="140" w:before="320"/>
      </w:pPr>
      <w:r>
        <w:rPr>
          <w:rFonts w:ascii="Georgia" w:cs="Georgia" w:eastAsia="Georgia" w:hAnsi="Georgia"/>
          <w:b/>
          <w:bCs/>
          <w:color w:val="1A2233"/>
          <w:sz w:val="24"/>
          <w:szCs w:val="24"/>
        </w:rPr>
        <w:t xml:space="preserve">3.1 Core entities</w:t>
      </w:r>
    </w:p>
    <w:p>
      <w:pPr>
        <w:spacing w:after="160" w:line="300"/>
      </w:pPr>
      <w:r>
        <w:rPr>
          <w:rFonts w:ascii="Calibri" w:cs="Calibri" w:eastAsia="Calibri" w:hAnsi="Calibri"/>
          <w:color w:val="1A2233"/>
          <w:sz w:val="21"/>
          <w:szCs w:val="21"/>
        </w:rPr>
        <w:t xml:space="preserve">The schema (Prisma, PostgreSQL) models the full canonical shape of the business: customers and the people/places/things they act on behalf of, the case lifecycle itself, the money that moves through it, and the people who execute and govern it.</w:t>
      </w:r>
    </w:p>
    <w:p>
      <w:pPr>
        <w:pStyle w:val="ListParagraph"/>
        <w:numPr>
          <w:ilvl w:val="0"/>
          <w:numId w:val="1"/>
        </w:numPr>
        <w:spacing w:after="100" w:line="290"/>
      </w:pPr>
      <w:r>
        <w:rPr>
          <w:rFonts w:ascii="Calibri" w:cs="Calibri" w:eastAsia="Calibri" w:hAnsi="Calibri"/>
          <w:color w:val="1A2233"/>
          <w:sz w:val="21"/>
          <w:szCs w:val="21"/>
        </w:rPr>
        <w:t xml:space="preserve">People &amp; relationships: Customer, Beneficiary, Property, Asset, Account (household/company), Partner, PartnerContact, Agent, Provider</w:t>
      </w:r>
    </w:p>
    <w:p>
      <w:pPr>
        <w:pStyle w:val="ListParagraph"/>
        <w:numPr>
          <w:ilvl w:val="0"/>
          <w:numId w:val="1"/>
        </w:numPr>
        <w:spacing w:after="100" w:line="290"/>
      </w:pPr>
      <w:r>
        <w:rPr>
          <w:rFonts w:ascii="Calibri" w:cs="Calibri" w:eastAsia="Calibri" w:hAnsi="Calibri"/>
          <w:color w:val="1A2233"/>
          <w:sz w:val="21"/>
          <w:szCs w:val="21"/>
        </w:rPr>
        <w:t xml:space="preserve">Case lifecycle: ServiceRequest, ServiceCase, CaseScope (versioned), CaseStatusHistory, CaseTask, CaseCollaborator, Assignment, CaseRiskFlag, RiskAssessment, RecurringSchedule</w:t>
      </w:r>
    </w:p>
    <w:p>
      <w:pPr>
        <w:pStyle w:val="ListParagraph"/>
        <w:numPr>
          <w:ilvl w:val="0"/>
          <w:numId w:val="1"/>
        </w:numPr>
        <w:spacing w:after="100" w:line="290"/>
      </w:pPr>
      <w:r>
        <w:rPr>
          <w:rFonts w:ascii="Calibri" w:cs="Calibri" w:eastAsia="Calibri" w:hAnsi="Calibri"/>
          <w:color w:val="1A2233"/>
          <w:sz w:val="21"/>
          <w:szCs w:val="21"/>
        </w:rPr>
        <w:t xml:space="preserve">Evidence &amp; delivery: Evidence, Document, Report, Rating</w:t>
      </w:r>
    </w:p>
    <w:p>
      <w:pPr>
        <w:pStyle w:val="ListParagraph"/>
        <w:numPr>
          <w:ilvl w:val="0"/>
          <w:numId w:val="1"/>
        </w:numPr>
        <w:spacing w:after="100" w:line="290"/>
      </w:pPr>
      <w:r>
        <w:rPr>
          <w:rFonts w:ascii="Calibri" w:cs="Calibri" w:eastAsia="Calibri" w:hAnsi="Calibri"/>
          <w:color w:val="1A2233"/>
          <w:sz w:val="21"/>
          <w:szCs w:val="21"/>
        </w:rPr>
        <w:t xml:space="preserve">Commerce: Quote, QuoteLine, Invoice, Payment, Refund, RefundRequest, Reconciliation, DirectCost</w:t>
      </w:r>
    </w:p>
    <w:p>
      <w:pPr>
        <w:pStyle w:val="ListParagraph"/>
        <w:numPr>
          <w:ilvl w:val="0"/>
          <w:numId w:val="1"/>
        </w:numPr>
        <w:spacing w:after="100" w:line="290"/>
      </w:pPr>
      <w:r>
        <w:rPr>
          <w:rFonts w:ascii="Calibri" w:cs="Calibri" w:eastAsia="Calibri" w:hAnsi="Calibri"/>
          <w:color w:val="1A2233"/>
          <w:sz w:val="21"/>
          <w:szCs w:val="21"/>
        </w:rPr>
        <w:t xml:space="preserve">Membership &amp; partnerships: Subscription, SubscriptionInvoice, ScLedgerEntry, MembershipPlanConfig, Partner</w:t>
      </w:r>
    </w:p>
    <w:p>
      <w:pPr>
        <w:pStyle w:val="ListParagraph"/>
        <w:numPr>
          <w:ilvl w:val="0"/>
          <w:numId w:val="1"/>
        </w:numPr>
        <w:spacing w:after="100" w:line="290"/>
      </w:pPr>
      <w:r>
        <w:rPr>
          <w:rFonts w:ascii="Calibri" w:cs="Calibri" w:eastAsia="Calibri" w:hAnsi="Calibri"/>
          <w:color w:val="1A2233"/>
          <w:sz w:val="21"/>
          <w:szCs w:val="21"/>
        </w:rPr>
        <w:t xml:space="preserve">Platform: User, Notification, AuditEvent, BeneficiaryInvite, PasswordResetToken</w:t>
      </w:r>
    </w:p>
    <w:p>
      <w:pPr>
        <w:pStyle w:val="Heading2"/>
        <w:spacing w:after="140" w:before="320"/>
      </w:pPr>
      <w:r>
        <w:rPr>
          <w:rFonts w:ascii="Georgia" w:cs="Georgia" w:eastAsia="Georgia" w:hAnsi="Georgia"/>
          <w:b/>
          <w:bCs/>
          <w:color w:val="1A2233"/>
          <w:sz w:val="24"/>
          <w:szCs w:val="24"/>
        </w:rPr>
        <w:t xml:space="preserve">3.2 Roles</w:t>
      </w:r>
    </w:p>
    <w:p>
      <w:pPr>
        <w:spacing w:after="160" w:line="300"/>
      </w:pPr>
      <w:r>
        <w:rPr>
          <w:rFonts w:ascii="Calibri" w:cs="Calibri" w:eastAsia="Calibri" w:hAnsi="Calibri"/>
          <w:color w:val="1A2233"/>
          <w:sz w:val="21"/>
          <w:szCs w:val="21"/>
        </w:rPr>
        <w:t xml:space="preserve">Eleven distinct roles, each with its own guard-enforced scope of what it can see and do:</w:t>
      </w:r>
    </w:p>
    <w:p>
      <w:pPr>
        <w:pStyle w:val="ListParagraph"/>
        <w:numPr>
          <w:ilvl w:val="0"/>
          <w:numId w:val="1"/>
        </w:numPr>
        <w:spacing w:after="100" w:line="290"/>
      </w:pPr>
      <w:r>
        <w:rPr>
          <w:rFonts w:ascii="Calibri" w:cs="Calibri" w:eastAsia="Calibri" w:hAnsi="Calibri"/>
          <w:color w:val="1A2233"/>
          <w:sz w:val="21"/>
          <w:szCs w:val="21"/>
        </w:rPr>
        <w:t xml:space="preserve">CUSTOMER — the diaspora account holder; always owns the account and pays.</w:t>
      </w:r>
    </w:p>
    <w:p>
      <w:pPr>
        <w:pStyle w:val="ListParagraph"/>
        <w:numPr>
          <w:ilvl w:val="0"/>
          <w:numId w:val="1"/>
        </w:numPr>
        <w:spacing w:after="100" w:line="290"/>
      </w:pPr>
      <w:r>
        <w:rPr>
          <w:rFonts w:ascii="Calibri" w:cs="Calibri" w:eastAsia="Calibri" w:hAnsi="Calibri"/>
          <w:color w:val="1A2233"/>
          <w:sz w:val="21"/>
          <w:szCs w:val="21"/>
        </w:rPr>
        <w:t xml:space="preserve">BENEFICIARY — the person a Customer names on a case, given their own limited, read-only login.</w:t>
      </w:r>
    </w:p>
    <w:p>
      <w:pPr>
        <w:pStyle w:val="ListParagraph"/>
        <w:numPr>
          <w:ilvl w:val="0"/>
          <w:numId w:val="1"/>
        </w:numPr>
        <w:spacing w:after="100" w:line="290"/>
      </w:pPr>
      <w:r>
        <w:rPr>
          <w:rFonts w:ascii="Calibri" w:cs="Calibri" w:eastAsia="Calibri" w:hAnsi="Calibri"/>
          <w:color w:val="1A2233"/>
          <w:sz w:val="21"/>
          <w:szCs w:val="21"/>
        </w:rPr>
        <w:t xml:space="preserve">FIELD_AGENT / PROVIDER — paid field executors who carry out inspections and services.</w:t>
      </w:r>
    </w:p>
    <w:p>
      <w:pPr>
        <w:pStyle w:val="ListParagraph"/>
        <w:numPr>
          <w:ilvl w:val="0"/>
          <w:numId w:val="1"/>
        </w:numPr>
        <w:spacing w:after="100" w:line="290"/>
      </w:pPr>
      <w:r>
        <w:rPr>
          <w:rFonts w:ascii="Calibri" w:cs="Calibri" w:eastAsia="Calibri" w:hAnsi="Calibri"/>
          <w:color w:val="1A2233"/>
          <w:sz w:val="21"/>
          <w:szCs w:val="21"/>
        </w:rPr>
        <w:t xml:space="preserve">CASE_MANAGER / RELATIONSHIP_MANAGER / QUALITY_CONTROL / FINANCE / COMPLIANCE_RISK — internal operations staff, each scoped to what their function needs.</w:t>
      </w:r>
    </w:p>
    <w:p>
      <w:pPr>
        <w:pStyle w:val="ListParagraph"/>
        <w:numPr>
          <w:ilvl w:val="0"/>
          <w:numId w:val="1"/>
        </w:numPr>
        <w:spacing w:after="100" w:line="290"/>
      </w:pPr>
      <w:r>
        <w:rPr>
          <w:rFonts w:ascii="Calibri" w:cs="Calibri" w:eastAsia="Calibri" w:hAnsi="Calibri"/>
          <w:color w:val="1A2233"/>
          <w:sz w:val="21"/>
          <w:szCs w:val="21"/>
        </w:rPr>
        <w:t xml:space="preserve">ADMIN / SUPER_ADMIN — full platform access, mandatory MFA.</w:t>
      </w:r>
    </w:p>
    <w:p>
      <w:pPr>
        <w:pStyle w:val="ListParagraph"/>
        <w:numPr>
          <w:ilvl w:val="0"/>
          <w:numId w:val="1"/>
        </w:numPr>
        <w:spacing w:after="100" w:line="290"/>
      </w:pPr>
      <w:r>
        <w:rPr>
          <w:rFonts w:ascii="Calibri" w:cs="Calibri" w:eastAsia="Calibri" w:hAnsi="Calibri"/>
          <w:color w:val="1A2233"/>
          <w:sz w:val="21"/>
          <w:szCs w:val="21"/>
        </w:rPr>
        <w:t xml:space="preserve">PARTNER — an external referral organisation with a read-only view of who they referred.</w:t>
      </w:r>
    </w:p>
    <w:p>
      <w:pPr>
        <w:pStyle w:val="Heading1"/>
        <w:pBdr>
          <w:bottom w:val="single" w:color="0F6E5C" w:sz="8" w:space="6"/>
        </w:pBdr>
        <w:spacing w:after="200" w:before="480"/>
      </w:pPr>
      <w:r>
        <w:rPr>
          <w:rFonts w:ascii="Georgia" w:cs="Georgia" w:eastAsia="Georgia" w:hAnsi="Georgia"/>
          <w:b/>
          <w:bCs/>
          <w:color w:val="0B4F42"/>
          <w:sz w:val="30"/>
          <w:szCs w:val="30"/>
        </w:rPr>
        <w:t xml:space="preserve">4. The Golden Path — Core Case Lifecycle</w:t>
      </w:r>
    </w:p>
    <w:p>
      <w:pPr>
        <w:spacing w:after="160" w:line="300"/>
      </w:pPr>
      <w:r>
        <w:rPr>
          <w:rFonts w:ascii="Calibri" w:cs="Calibri" w:eastAsia="Calibri" w:hAnsi="Calibri"/>
          <w:color w:val="1A2233"/>
          <w:sz w:val="21"/>
          <w:szCs w:val="21"/>
        </w:rPr>
        <w:t xml:space="preserve">All seven vertical slices of the golden path are implemented and verified end-to-end against a real Postgres instance — not just individually, but as one continuous, working flow from a customer's first message to a closed, rated case.</w:t>
      </w:r>
    </w:p>
    <w:p>
      <w:pPr>
        <w:pStyle w:val="Heading2"/>
        <w:spacing w:after="140" w:before="320"/>
      </w:pPr>
      <w:r>
        <w:rPr>
          <w:rFonts w:ascii="Georgia" w:cs="Georgia" w:eastAsia="Georgia" w:hAnsi="Georgia"/>
          <w:b/>
          <w:bCs/>
          <w:color w:val="1A2233"/>
          <w:sz w:val="24"/>
          <w:szCs w:val="24"/>
        </w:rPr>
        <w:t xml:space="preserve">4.1 Request → Case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AI Diaspora Concierge intake — </w:t>
      </w:r>
      <w:r>
        <w:rPr>
          <w:rFonts w:ascii="Calibri" w:cs="Calibri" w:eastAsia="Calibri" w:hAnsi="Calibri"/>
          <w:b w:val="false"/>
          <w:bCs w:val="false"/>
          <w:i w:val="false"/>
          <w:iCs w:val="false"/>
          <w:color w:val="1A2233"/>
          <w:sz w:val="21"/>
          <w:szCs w:val="21"/>
        </w:rPr>
        <w:t xml:space="preserve">A natural-language entry point where a customer describes what they need in their own words. The model returns structured, tool-based output only — it never writes to the database directly. Lead scoring is deterministic plain code, not a model judgment call, and every completed intake is audited as AI-attributed.</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The deterministic Case Engine — </w:t>
      </w:r>
      <w:r>
        <w:rPr>
          <w:rFonts w:ascii="Calibri" w:cs="Calibri" w:eastAsia="Calibri" w:hAnsi="Calibri"/>
          <w:b w:val="false"/>
          <w:bCs w:val="false"/>
          <w:i w:val="false"/>
          <w:iCs w:val="false"/>
          <w:color w:val="1A2233"/>
          <w:sz w:val="21"/>
          <w:szCs w:val="21"/>
        </w:rPr>
        <w:t xml:space="preserve">A ServiceRequest is triaged by staff into a ServiceCase against a specific service type. The full case-status state machine is enforced entirely server-side, with complete status history and append-only audit logging on every transition.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Self-rolled JWT authentication — </w:t>
      </w:r>
      <w:r>
        <w:rPr>
          <w:rFonts w:ascii="Calibri" w:cs="Calibri" w:eastAsia="Calibri" w:hAnsi="Calibri"/>
          <w:b w:val="false"/>
          <w:bCs w:val="false"/>
          <w:i w:val="false"/>
          <w:iCs w:val="false"/>
          <w:color w:val="1A2233"/>
          <w:sz w:val="21"/>
          <w:szCs w:val="21"/>
        </w:rPr>
        <w:t xml:space="preserve">Role-based and case-scoped access control from day one, with MFA, password reset, and session revocation built on the same foundation (see Section 9).</w:t>
      </w:r>
    </w:p>
    <w:p>
      <w:pPr>
        <w:pStyle w:val="Heading2"/>
        <w:spacing w:after="140" w:before="320"/>
      </w:pPr>
      <w:r>
        <w:rPr>
          <w:rFonts w:ascii="Georgia" w:cs="Georgia" w:eastAsia="Georgia" w:hAnsi="Georgia"/>
          <w:b/>
          <w:bCs/>
          <w:color w:val="1A2233"/>
          <w:sz w:val="24"/>
          <w:szCs w:val="24"/>
        </w:rPr>
        <w:t xml:space="preserve">4.2 Case → Quote → Payment</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Scope, versioned and confirmed before a quote can exist — </w:t>
      </w:r>
      <w:r>
        <w:rPr>
          <w:rFonts w:ascii="Calibri" w:cs="Calibri" w:eastAsia="Calibri" w:hAnsi="Calibri"/>
          <w:b w:val="false"/>
          <w:bCs w:val="false"/>
          <w:i w:val="false"/>
          <w:iCs w:val="false"/>
          <w:color w:val="1A2233"/>
          <w:sz w:val="21"/>
          <w:szCs w:val="21"/>
        </w:rPr>
        <w:t xml:space="preserve">A CaseScope (objective, tasks, deliverables, exclusions, evidence requirements) is a real prerequisite for issuing a quote — no scope, or an unconfirmed latest version, and quoting is rejected outright. Revising the scope after a quote exists starts a new, unconfirmed version rather than mutating the old one, so a material scope change is always traceable and can never silently expand what was agreed.</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Quote Line Categories — </w:t>
      </w:r>
      <w:r>
        <w:rPr>
          <w:rFonts w:ascii="Calibri" w:cs="Calibri" w:eastAsia="Calibri" w:hAnsi="Calibri"/>
          <w:b w:val="false"/>
          <w:bCs w:val="false"/>
          <w:i w:val="false"/>
          <w:iCs w:val="false"/>
          <w:color w:val="1A2233"/>
          <w:sz w:val="21"/>
          <w:szCs w:val="21"/>
        </w:rPr>
        <w:t xml:space="preserve">A quote is a categorized set of lines — ASOJU service fee, external cost, third-party professional fee, tax/statutory — not one flat number. Membership discounts and SC balance apply only to the service-fee lines; external and third-party costs pass through untouched, exactly matching the platform's "never hide external costs inside our fee" principle.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Quote expiry — </w:t>
      </w:r>
      <w:r>
        <w:rPr>
          <w:rFonts w:ascii="Calibri" w:cs="Calibri" w:eastAsia="Calibri" w:hAnsi="Calibri"/>
          <w:b w:val="false"/>
          <w:bCs w:val="false"/>
          <w:i w:val="false"/>
          <w:iCs w:val="false"/>
          <w:color w:val="1A2233"/>
          <w:sz w:val="21"/>
          <w:szCs w:val="21"/>
        </w:rPr>
        <w:t xml:space="preserve">A quote carries a real validity window; accepting an expired one is rejected server-side. An hourly sweep reopens a case with an unaccepted, expired quote for re-quoting instead of leaving it stuck, and notifies the customer.</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Real Paystack payment integration — </w:t>
      </w:r>
      <w:r>
        <w:rPr>
          <w:rFonts w:ascii="Calibri" w:cs="Calibri" w:eastAsia="Calibri" w:hAnsi="Calibri"/>
          <w:b w:val="false"/>
          <w:bCs w:val="false"/>
          <w:i w:val="false"/>
          <w:iCs w:val="false"/>
          <w:color w:val="1A2233"/>
          <w:sz w:val="21"/>
          <w:szCs w:val="21"/>
        </w:rPr>
        <w:t xml:space="preserve">Checkout is only ever initiated through Paystack's hosted flow; payment status changes only via a webhook whose HMAC-SHA512 signature over the raw request body is independently verified — never a shared-secret stand-in, and never a customer-supplied screenshot.</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Refunds, refund-amount threshold approval, and reconciliation — </w:t>
      </w:r>
      <w:r>
        <w:rPr>
          <w:rFonts w:ascii="Calibri" w:cs="Calibri" w:eastAsia="Calibri" w:hAnsi="Calibri"/>
          <w:b w:val="false"/>
          <w:bCs w:val="false"/>
          <w:i w:val="false"/>
          <w:iCs w:val="false"/>
          <w:color w:val="1A2233"/>
          <w:sz w:val="21"/>
          <w:szCs w:val="21"/>
        </w:rPr>
        <w:t xml:space="preserve">Full and partial refunds always require a reason and can never exceed what remains on a payment. Above a configurable threshold, a refund becomes a pending request requiring a second, different Finance/Admin approver — a genuine maker-checker control, not just a permission check. A webhook amount mismatch now produces a durable, actionable RECONCILIATION_REQUIRED state with a real resolution workflow (matched or rejected, always noted, always an append-only record) instead of leaving a payment stuck.</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Payment expiry sweep — </w:t>
      </w:r>
      <w:r>
        <w:rPr>
          <w:rFonts w:ascii="Calibri" w:cs="Calibri" w:eastAsia="Calibri" w:hAnsi="Calibri"/>
          <w:b w:val="false"/>
          <w:bCs w:val="false"/>
          <w:i w:val="false"/>
          <w:iCs w:val="false"/>
          <w:color w:val="1A2233"/>
          <w:sz w:val="21"/>
          <w:szCs w:val="21"/>
        </w:rPr>
        <w:t xml:space="preserve">An abandoned checkout that never receives a webhook is automatically marked EXPIRED after a configurable window, freeing the customer to try again on the same invoice.</w:t>
      </w:r>
    </w:p>
    <w:p>
      <w:pPr>
        <w:pStyle w:val="Heading2"/>
        <w:spacing w:after="140" w:before="320"/>
      </w:pPr>
      <w:r>
        <w:rPr>
          <w:rFonts w:ascii="Georgia" w:cs="Georgia" w:eastAsia="Georgia" w:hAnsi="Georgia"/>
          <w:b/>
          <w:bCs/>
          <w:color w:val="1A2233"/>
          <w:sz w:val="24"/>
          <w:szCs w:val="24"/>
        </w:rPr>
        <w:t xml:space="preserve">4.3 Payment → Assignment → Field Execution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Assignment — </w:t>
      </w:r>
      <w:r>
        <w:rPr>
          <w:rFonts w:ascii="Calibri" w:cs="Calibri" w:eastAsia="Calibri" w:hAnsi="Calibri"/>
          <w:b w:val="false"/>
          <w:bCs w:val="false"/>
          <w:i w:val="false"/>
          <w:iCs w:val="false"/>
          <w:color w:val="1A2233"/>
          <w:sz w:val="21"/>
          <w:szCs w:val="21"/>
        </w:rPr>
        <w:t xml:space="preserve">Staff assign a verified field agent or provider to a scheduled case; the assignee accepts or declines, and a decline reopens the case for reassignment. Multiple concurrent assignments are supported (e.g. a field agent for a site visit and a lawyer for a title opinion at once).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Job cards built from confirmed scope — </w:t>
      </w:r>
      <w:r>
        <w:rPr>
          <w:rFonts w:ascii="Calibri" w:cs="Calibri" w:eastAsia="Calibri" w:hAnsi="Calibri"/>
          <w:b w:val="false"/>
          <w:bCs w:val="false"/>
          <w:i w:val="false"/>
          <w:iCs w:val="false"/>
          <w:color w:val="1A2233"/>
          <w:sz w:val="21"/>
          <w:szCs w:val="21"/>
        </w:rPr>
        <w:t xml:space="preserve">What the field agent sees is sourced from the case's latest confirmed scope only — an unconfirmed, in-progress revision never displays as binding, so the same "material changes can't silently expand execution" guarantee holds during fieldwork, not just at quoting.</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Evidence capture — </w:t>
      </w:r>
      <w:r>
        <w:rPr>
          <w:rFonts w:ascii="Calibri" w:cs="Calibri" w:eastAsia="Calibri" w:hAnsi="Calibri"/>
          <w:b w:val="false"/>
          <w:bCs w:val="false"/>
          <w:i w:val="false"/>
          <w:iCs w:val="false"/>
          <w:color w:val="1A2233"/>
          <w:sz w:val="21"/>
          <w:szCs w:val="21"/>
        </w:rPr>
        <w:t xml:space="preserve">Photos, video, documents, and notes are submitted against a private, case-scoped object-storage key — never a predictable public URL — and served back only via short-lived signed view URLs.</w:t>
      </w:r>
    </w:p>
    <w:p>
      <w:pPr>
        <w:pStyle w:val="Heading2"/>
        <w:spacing w:after="140" w:before="320"/>
      </w:pPr>
      <w:r>
        <w:rPr>
          <w:rFonts w:ascii="Georgia" w:cs="Georgia" w:eastAsia="Georgia" w:hAnsi="Georgia"/>
          <w:b/>
          <w:bCs/>
          <w:color w:val="1A2233"/>
          <w:sz w:val="24"/>
          <w:szCs w:val="24"/>
        </w:rPr>
        <w:t xml:space="preserve">4.4 Evidence → QC → Report → Completion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 six-outcome QC taxonomy — </w:t>
      </w:r>
      <w:r>
        <w:rPr>
          <w:rFonts w:ascii="Calibri" w:cs="Calibri" w:eastAsia="Calibri" w:hAnsi="Calibri"/>
          <w:b w:val="false"/>
          <w:bCs w:val="false"/>
          <w:i w:val="false"/>
          <w:iCs w:val="false"/>
          <w:color w:val="1A2233"/>
          <w:sz w:val="21"/>
          <w:szCs w:val="21"/>
        </w:rPr>
        <w:t xml:space="preserve">Quality control reviews submitted fieldwork and chooses one of: approve (generates the customer-facing Report), approve-with-a-recorded-limitation (the caveat is required and shown to the customer, never silently folded into a clean pass), send back for rework, require a site revisit (which becomes a real, required checklist item for the field agent, not just a status note), or escalate/flag an incident without advancing the case. A field submission is never automatically treated as a completed case.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Customer approval and closure — </w:t>
      </w:r>
      <w:r>
        <w:rPr>
          <w:rFonts w:ascii="Calibri" w:cs="Calibri" w:eastAsia="Calibri" w:hAnsi="Calibri"/>
          <w:b w:val="false"/>
          <w:bCs w:val="false"/>
          <w:i w:val="false"/>
          <w:iCs w:val="false"/>
          <w:color w:val="1A2233"/>
          <w:sz w:val="21"/>
          <w:szCs w:val="21"/>
        </w:rPr>
        <w:t xml:space="preserve">The customer reviews the report and approves it, which auto-completes the case; final closure remains a deliberate staff/finance action, kept distinct from "done."</w:t>
      </w:r>
    </w:p>
    <w:p>
      <w:pPr>
        <w:pStyle w:val="Heading1"/>
        <w:pBdr>
          <w:bottom w:val="single" w:color="0F6E5C" w:sz="8" w:space="6"/>
        </w:pBdr>
        <w:spacing w:after="200" w:before="480"/>
      </w:pPr>
      <w:r>
        <w:rPr>
          <w:rFonts w:ascii="Georgia" w:cs="Georgia" w:eastAsia="Georgia" w:hAnsi="Georgia"/>
          <w:b/>
          <w:bCs/>
          <w:color w:val="0B4F42"/>
          <w:sz w:val="30"/>
          <w:szCs w:val="30"/>
        </w:rPr>
        <w:t xml:space="preserve">5. Customer-Facing Experience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Customer portal core screens — </w:t>
      </w:r>
      <w:r>
        <w:rPr>
          <w:rFonts w:ascii="Calibri" w:cs="Calibri" w:eastAsia="Calibri" w:hAnsi="Calibri"/>
          <w:b w:val="false"/>
          <w:bCs w:val="false"/>
          <w:i w:val="false"/>
          <w:iCs w:val="false"/>
          <w:color w:val="1A2233"/>
          <w:sz w:val="21"/>
          <w:szCs w:val="21"/>
        </w:rPr>
        <w:t xml:space="preserve">Registration and login, the natural-language Concierge request entry point, a case dashboard, and full case detail with human-readable status (never a raw internal code), timeline, quote review and acceptance, evidence and report viewers, and approval actions.</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Customer portfolio dashboard — </w:t>
      </w:r>
      <w:r>
        <w:rPr>
          <w:rFonts w:ascii="Calibri" w:cs="Calibri" w:eastAsia="Calibri" w:hAnsi="Calibri"/>
          <w:b w:val="false"/>
          <w:bCs w:val="false"/>
          <w:i w:val="false"/>
          <w:iCs w:val="false"/>
          <w:color w:val="1A2233"/>
          <w:sz w:val="21"/>
          <w:szCs w:val="21"/>
        </w:rPr>
        <w:t xml:space="preserve">One screen instead of piecing the same picture together from several endpoints: active cases bucketed by status, exact-math total spend, saved properties/assets paired with their most recent case, beneficiaries and whether they've claimed portal access, upcoming scheduled visits, Concierge membership and SC balance, and referral stats — deliberately scoped to the individual customer, with no visibility into other Account members' cases.</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Saved beneficiaries, properties, and assets — </w:t>
      </w:r>
      <w:r>
        <w:rPr>
          <w:rFonts w:ascii="Calibri" w:cs="Calibri" w:eastAsia="Calibri" w:hAnsi="Calibri"/>
          <w:b w:val="false"/>
          <w:bCs w:val="false"/>
          <w:i w:val="false"/>
          <w:iCs w:val="false"/>
          <w:color w:val="1A2233"/>
          <w:sz w:val="21"/>
          <w:szCs w:val="21"/>
        </w:rPr>
        <w:t xml:space="preserve">Managed from a "My Nigeria" profile screen; staff triaging a request can link a customer's saved resource straight into a new case, with ownership re-verified server-side every time.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Beneficiary portal access — </w:t>
      </w:r>
      <w:r>
        <w:rPr>
          <w:rFonts w:ascii="Calibri" w:cs="Calibri" w:eastAsia="Calibri" w:hAnsi="Calibri"/>
          <w:b w:val="false"/>
          <w:bCs w:val="false"/>
          <w:i w:val="false"/>
          <w:iCs w:val="false"/>
          <w:color w:val="1A2233"/>
          <w:sz w:val="21"/>
          <w:szCs w:val="21"/>
        </w:rPr>
        <w:t xml:space="preserve">The person a case is actually for — not the paying Customer — can now be invited to a real, limited, read-only login of their own via a hashed, expiring, single-use link. What they see is an explicit allowlist of case status, schedule, evidence, and reports; quotes, invoices, payments, collaborators, risk flags, incidents, and the owning customer's identity are never even fetched for this role, let alone shown.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Notifications and channel preferences — </w:t>
      </w:r>
      <w:r>
        <w:rPr>
          <w:rFonts w:ascii="Calibri" w:cs="Calibri" w:eastAsia="Calibri" w:hAnsi="Calibri"/>
          <w:b w:val="false"/>
          <w:bCs w:val="false"/>
          <w:i w:val="false"/>
          <w:iCs w:val="false"/>
          <w:color w:val="1A2233"/>
          <w:sz w:val="21"/>
          <w:szCs w:val="21"/>
        </w:rPr>
        <w:t xml:space="preserve">In-app notifications fire on every material case event; a customer's preferred channel (WhatsApp, email, SMS) now actually drives a real send attempt through that channel when a provider is configured, with delivery status recorded and a staff retry path for genuine failures.</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Ratings and the public trust page — </w:t>
      </w:r>
      <w:r>
        <w:rPr>
          <w:rFonts w:ascii="Calibri" w:cs="Calibri" w:eastAsia="Calibri" w:hAnsi="Calibri"/>
          <w:b w:val="false"/>
          <w:bCs w:val="false"/>
          <w:i w:val="false"/>
          <w:iCs w:val="false"/>
          <w:color w:val="1A2233"/>
          <w:sz w:val="21"/>
          <w:szCs w:val="21"/>
        </w:rPr>
        <w:t xml:space="preserve">A customer rates a completed case once; opting in (off by default) makes that rating — anonymized, no name or case number — eligible to appear on a new public, unauthenticated trust page alongside an aggregate average rating and a platform-wide completed-case count.</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Referral system — </w:t>
      </w:r>
      <w:r>
        <w:rPr>
          <w:rFonts w:ascii="Calibri" w:cs="Calibri" w:eastAsia="Calibri" w:hAnsi="Calibri"/>
          <w:b w:val="false"/>
          <w:bCs w:val="false"/>
          <w:i w:val="false"/>
          <w:iCs w:val="false"/>
          <w:color w:val="1A2233"/>
          <w:sz w:val="21"/>
          <w:szCs w:val="21"/>
        </w:rPr>
        <w:t xml:space="preserve">Every customer gets a unique code at registration, with a copyable invite link and a pre-filled registration path for the person they refer.</w:t>
      </w:r>
    </w:p>
    <w:p>
      <w:pPr>
        <w:pStyle w:val="Heading1"/>
        <w:pBdr>
          <w:bottom w:val="single" w:color="0F6E5C" w:sz="8" w:space="6"/>
        </w:pBdr>
        <w:spacing w:after="200" w:before="480"/>
      </w:pPr>
      <w:r>
        <w:rPr>
          <w:rFonts w:ascii="Georgia" w:cs="Georgia" w:eastAsia="Georgia" w:hAnsi="Georgia"/>
          <w:b/>
          <w:bCs/>
          <w:color w:val="0B4F42"/>
          <w:sz w:val="30"/>
          <w:szCs w:val="30"/>
        </w:rPr>
        <w:t xml:space="preserve">6. Staff-Facing Experience — Operations Control Centre</w:t>
      </w:r>
    </w:p>
    <w:p>
      <w:pPr>
        <w:spacing w:after="160" w:line="300"/>
      </w:pPr>
      <w:r>
        <w:rPr>
          <w:rFonts w:ascii="Calibri" w:cs="Calibri" w:eastAsia="Calibri" w:hAnsi="Calibri"/>
          <w:color w:val="1A2233"/>
          <w:sz w:val="21"/>
          <w:szCs w:val="21"/>
        </w:rPr>
        <w:t xml:space="preserve">A dedicated staff console, accessible only to internal roles, built around one governing rule: seeing a case in the org-wide queue is metadata-only visibility, but acting on or fully viewing a specific case still requires a real, explicit relationship to it.</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Case queue and case management — </w:t>
      </w:r>
      <w:r>
        <w:rPr>
          <w:rFonts w:ascii="Calibri" w:cs="Calibri" w:eastAsia="Calibri" w:hAnsi="Calibri"/>
          <w:b w:val="false"/>
          <w:bCs w:val="false"/>
          <w:i w:val="false"/>
          <w:iCs w:val="false"/>
          <w:color w:val="1A2233"/>
          <w:sz w:val="21"/>
          <w:szCs w:val="21"/>
        </w:rPr>
        <w:t xml:space="preserve">An org-wide queue filterable by triage, payment, assignment, QC, escalation, and completion state, with a one-click "claim" to bridge queue visibility and case-scoped access. From a case's own page, staff issue quotes, assign agents/providers, run QC, advance status, and attach collaborators.</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Case ownership, next action, and SLA target — </w:t>
      </w:r>
      <w:r>
        <w:rPr>
          <w:rFonts w:ascii="Calibri" w:cs="Calibri" w:eastAsia="Calibri" w:hAnsi="Calibri"/>
          <w:b w:val="false"/>
          <w:bCs w:val="false"/>
          <w:i w:val="false"/>
          <w:iCs w:val="false"/>
          <w:color w:val="1A2233"/>
          <w:sz w:val="21"/>
          <w:szCs w:val="21"/>
        </w:rPr>
        <w:t xml:space="preserve">Every active case now answers who owns it, what happens next, and when it's due — an SLA target set automatically from priority at creation, an explicit owner who must be real operational staff, and free-text next-action tracking. The queue gained "overdue" and "no owner" filters on an exceptions-first design.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ON_HOLD case state — </w:t>
      </w:r>
      <w:r>
        <w:rPr>
          <w:rFonts w:ascii="Calibri" w:cs="Calibri" w:eastAsia="Calibri" w:hAnsi="Calibri"/>
          <w:b w:val="false"/>
          <w:bCs w:val="false"/>
          <w:i w:val="false"/>
          <w:iCs w:val="false"/>
          <w:color w:val="1A2233"/>
          <w:sz w:val="21"/>
          <w:szCs w:val="21"/>
        </w:rPr>
        <w:t xml:space="preserve">A case can now be genuinely paused with a required reason and resumed back to wherever it was — a real pause distinct from the two different things "closed" used to mean (done, or cancelled).</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Direct case cost and contribution margin — </w:t>
      </w:r>
      <w:r>
        <w:rPr>
          <w:rFonts w:ascii="Calibri" w:cs="Calibri" w:eastAsia="Calibri" w:hAnsi="Calibri"/>
          <w:b w:val="false"/>
          <w:bCs w:val="false"/>
          <w:i w:val="false"/>
          <w:iCs w:val="false"/>
          <w:color w:val="1A2233"/>
          <w:sz w:val="21"/>
          <w:szCs w:val="21"/>
        </w:rPr>
        <w:t xml:space="preserve">Finance records what a case actually cost to deliver; the analytics summary now computes real contribution and contribution-margin figures per currency instead of leaving them uncomputable, visible only to authorized staff, never in the general case-detail response.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Agents &amp; Providers directories — </w:t>
      </w:r>
      <w:r>
        <w:rPr>
          <w:rFonts w:ascii="Calibri" w:cs="Calibri" w:eastAsia="Calibri" w:hAnsi="Calibri"/>
          <w:b w:val="false"/>
          <w:bCs w:val="false"/>
          <w:i w:val="false"/>
          <w:iCs w:val="false"/>
          <w:color w:val="1A2233"/>
          <w:sz w:val="21"/>
          <w:szCs w:val="21"/>
        </w:rPr>
        <w:t xml:space="preserve">Admin onboarding, a full provider verification lifecycle (pending → under review → verified → active), and agent activation/deactivation, plus provider self-managed credentials that only admin can verify.</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Advanced analytics — </w:t>
      </w:r>
      <w:r>
        <w:rPr>
          <w:rFonts w:ascii="Calibri" w:cs="Calibri" w:eastAsia="Calibri" w:hAnsi="Calibri"/>
          <w:b w:val="false"/>
          <w:bCs w:val="false"/>
          <w:i w:val="false"/>
          <w:iCs w:val="false"/>
          <w:color w:val="1A2233"/>
          <w:sz w:val="21"/>
          <w:szCs w:val="21"/>
        </w:rPr>
        <w:t xml:space="preserve">A working subset of the platform's success metrics computed live from the same tables everything else writes to — completion rate, repeat-customer rate, revenue, average case value, rating, QC rework rate, incidents by severity, contribution margin.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Admin audit log — </w:t>
      </w:r>
      <w:r>
        <w:rPr>
          <w:rFonts w:ascii="Calibri" w:cs="Calibri" w:eastAsia="Calibri" w:hAnsi="Calibri"/>
          <w:b w:val="false"/>
          <w:bCs w:val="false"/>
          <w:i w:val="false"/>
          <w:iCs w:val="false"/>
          <w:color w:val="1A2233"/>
          <w:sz w:val="21"/>
          <w:szCs w:val="21"/>
        </w:rPr>
        <w:t xml:space="preserve">Every material action has always been recorded; a searchable, filterable, paginated, read-only view now makes that record actually usable — by case, actor, action, actor type, and date range.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Customer service history — </w:t>
      </w:r>
      <w:r>
        <w:rPr>
          <w:rFonts w:ascii="Calibri" w:cs="Calibri" w:eastAsia="Calibri" w:hAnsi="Calibri"/>
          <w:b w:val="false"/>
          <w:bCs w:val="false"/>
          <w:i w:val="false"/>
          <w:iCs w:val="false"/>
          <w:color w:val="1A2233"/>
          <w:sz w:val="21"/>
          <w:szCs w:val="21"/>
        </w:rPr>
        <w:t xml:space="preserve">Any ops role can see a customer's whole relationship with ASOJU in one place — every case, total paid, average rating — surfaced from the queue, the Concierge directory, and account pages.</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Concierge relationship-management workflow — </w:t>
      </w:r>
      <w:r>
        <w:rPr>
          <w:rFonts w:ascii="Calibri" w:cs="Calibri" w:eastAsia="Calibri" w:hAnsi="Calibri"/>
          <w:b w:val="false"/>
          <w:bCs w:val="false"/>
          <w:i w:val="false"/>
          <w:iCs w:val="false"/>
          <w:color w:val="1A2233"/>
          <w:sz w:val="21"/>
          <w:szCs w:val="21"/>
        </w:rPr>
        <w:t xml:space="preserve">Admin assigns a Relationship Manager to a customer's whole portfolio (not per-case); the RM works from their own book of business.</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Membership plans, SC ledger, and admin-configurable pricing — </w:t>
      </w:r>
      <w:r>
        <w:rPr>
          <w:rFonts w:ascii="Calibri" w:cs="Calibri" w:eastAsia="Calibri" w:hAnsi="Calibri"/>
          <w:b w:val="false"/>
          <w:bCs w:val="false"/>
          <w:i w:val="false"/>
          <w:iCs w:val="false"/>
          <w:color w:val="1A2233"/>
          <w:sz w:val="21"/>
          <w:szCs w:val="21"/>
        </w:rPr>
        <w:t xml:space="preserve">Priority and Premium plan tiers with a real, append-only Special Credit ledger — balance is always computed from the ledger, never a column a request could overwrite. Discount and SC application is previewed at quoting and only actually debited, and re-validated against the live balance, at acceptance. All four plan numbers (price, SC grant, discount, monthly allowance) are Finance-editable, audited, and read live everywhere they used to be hardcoded — with a locked-vs-live split so a price change only affects new subscribers, never retroactively altering an existing member.</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Bounded subscription billing — </w:t>
      </w:r>
      <w:r>
        <w:rPr>
          <w:rFonts w:ascii="Calibri" w:cs="Calibri" w:eastAsia="Calibri" w:hAnsi="Calibri"/>
          <w:b w:val="false"/>
          <w:bCs w:val="false"/>
          <w:i w:val="false"/>
          <w:iCs w:val="false"/>
          <w:color w:val="1A2233"/>
          <w:sz w:val="21"/>
          <w:szCs w:val="21"/>
        </w:rPr>
        <w:t xml:space="preserve">Each Concierge subscription is billed automatically on its recurring cadence through the same payment integration as case payments, with the subscription lapsing rather than accumulating unpaid debt if a billing period goes unpaid.</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Corporate/family accounts — </w:t>
      </w:r>
      <w:r>
        <w:rPr>
          <w:rFonts w:ascii="Calibri" w:cs="Calibri" w:eastAsia="Calibri" w:hAnsi="Calibri"/>
          <w:b w:val="false"/>
          <w:bCs w:val="false"/>
          <w:i w:val="false"/>
          <w:iCs w:val="false"/>
          <w:color w:val="1A2233"/>
          <w:sz w:val="21"/>
          <w:szCs w:val="21"/>
        </w:rPr>
        <w:t xml:space="preserve">Several customers can be grouped under one household or company; a member sees a read-only roster of who else shares the account — a visibility layer only, never a shared-access one.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Partner portal — </w:t>
      </w:r>
      <w:r>
        <w:rPr>
          <w:rFonts w:ascii="Calibri" w:cs="Calibri" w:eastAsia="Calibri" w:hAnsi="Calibri"/>
          <w:b w:val="false"/>
          <w:bCs w:val="false"/>
          <w:i w:val="false"/>
          <w:iCs w:val="false"/>
          <w:color w:val="1A2233"/>
          <w:sz w:val="21"/>
          <w:szCs w:val="21"/>
        </w:rPr>
        <w:t xml:space="preserve">An external referral organisation is attributed at registration alongside the peer-to-peer referral code; a partner login gets a read-only dashboard of who they've referred, with no financial data — admin manages partners centrally.</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Recurring services — </w:t>
      </w:r>
      <w:r>
        <w:rPr>
          <w:rFonts w:ascii="Calibri" w:cs="Calibri" w:eastAsia="Calibri" w:hAnsi="Calibri"/>
          <w:b w:val="false"/>
          <w:bCs w:val="false"/>
          <w:i w:val="false"/>
          <w:iCs w:val="false"/>
          <w:color w:val="1A2233"/>
          <w:sz w:val="21"/>
          <w:szCs w:val="21"/>
        </w:rPr>
        <w:t xml:space="preserve">A completed case can become a recurring schedule; a daily sweep spawns the next case automatically, copying the checklist and notifying the customer, independent of whether the original case still exists.</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Refund-approval and failed-notification queues — </w:t>
      </w:r>
      <w:r>
        <w:rPr>
          <w:rFonts w:ascii="Calibri" w:cs="Calibri" w:eastAsia="Calibri" w:hAnsi="Calibri"/>
          <w:b w:val="false"/>
          <w:bCs w:val="false"/>
          <w:i w:val="false"/>
          <w:iCs w:val="false"/>
          <w:color w:val="1A2233"/>
          <w:sz w:val="21"/>
          <w:szCs w:val="21"/>
        </w:rPr>
        <w:t xml:space="preserve">Two dedicated triage screens — a maker-checker refund-approval queue, and a failed-notification-delivery queue with a one-click retry — for the two governance features described in Section 8.</w:t>
      </w:r>
    </w:p>
    <w:p>
      <w:pPr>
        <w:pStyle w:val="Heading1"/>
        <w:pBdr>
          <w:bottom w:val="single" w:color="0F6E5C" w:sz="8" w:space="6"/>
        </w:pBdr>
        <w:spacing w:after="200" w:before="480"/>
      </w:pPr>
      <w:r>
        <w:rPr>
          <w:rFonts w:ascii="Georgia" w:cs="Georgia" w:eastAsia="Georgia" w:hAnsi="Georgia"/>
          <w:b/>
          <w:bCs/>
          <w:color w:val="0B4F42"/>
          <w:sz w:val="30"/>
          <w:szCs w:val="30"/>
        </w:rPr>
        <w:t xml:space="preserve">7. Field Execution — The Field Agent App</w:t>
      </w:r>
    </w:p>
    <w:p>
      <w:pPr>
        <w:spacing w:after="160" w:line="300"/>
      </w:pPr>
      <w:r>
        <w:rPr>
          <w:rFonts w:ascii="Calibri" w:cs="Calibri" w:eastAsia="Calibri" w:hAnsi="Calibri"/>
          <w:color w:val="1A2233"/>
          <w:sz w:val="21"/>
          <w:szCs w:val="21"/>
        </w:rPr>
        <w:t xml:space="preserve">A dedicated mobile-first surface for field agents and providers, built around a single accept → check-in → execute → submit workflow.</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Job list and job card — </w:t>
      </w:r>
      <w:r>
        <w:rPr>
          <w:rFonts w:ascii="Calibri" w:cs="Calibri" w:eastAsia="Calibri" w:hAnsi="Calibri"/>
          <w:b w:val="false"/>
          <w:bCs w:val="false"/>
          <w:i w:val="false"/>
          <w:iCs w:val="false"/>
          <w:color w:val="1A2233"/>
          <w:sz w:val="21"/>
          <w:szCs w:val="21"/>
        </w:rPr>
        <w:t xml:space="preserve">Every assignment shown with live accept/decline/check-in status; each job card carries the case's standard, service-type-specific checklist, auto-seeded the moment the case is created — including the bereavement-vertical vendor-coordination checklist described in Section 11.</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The field workflow — </w:t>
      </w:r>
      <w:r>
        <w:rPr>
          <w:rFonts w:ascii="Calibri" w:cs="Calibri" w:eastAsia="Calibri" w:hAnsi="Calibri"/>
          <w:b w:val="false"/>
          <w:bCs w:val="false"/>
          <w:i w:val="false"/>
          <w:iCs w:val="false"/>
          <w:color w:val="1A2233"/>
          <w:sz w:val="21"/>
          <w:szCs w:val="21"/>
        </w:rPr>
        <w:t xml:space="preserve">Accept → server-timestamped check-in (with GPS where the browser grants it) → tick off checklist items → capture evidence → submit fieldwork, with an "escalate an exception" action available at any point that flags the case for staff without silently blocking or advancing it.</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Offline support — </w:t>
      </w:r>
      <w:r>
        <w:rPr>
          <w:rFonts w:ascii="Calibri" w:cs="Calibri" w:eastAsia="Calibri" w:hAnsi="Calibri"/>
          <w:b w:val="false"/>
          <w:bCs w:val="false"/>
          <w:i w:val="false"/>
          <w:iCs w:val="false"/>
          <w:color w:val="1A2233"/>
          <w:sz w:val="21"/>
          <w:szCs w:val="21"/>
        </w:rPr>
        <w:t xml:space="preserve">Checklist ticks and captured evidence queue to local storage without a connection and sync automatically on reconnect, with a visible banner showing what's queued — scoped deliberately to the two actions that make sense to queue, since check-in needs a live location fix and accept/decline/submit only make sense against the assignment's current online state.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Offline-queue idempotency — </w:t>
      </w:r>
      <w:r>
        <w:rPr>
          <w:rFonts w:ascii="Calibri" w:cs="Calibri" w:eastAsia="Calibri" w:hAnsi="Calibri"/>
          <w:b w:val="false"/>
          <w:bCs w:val="false"/>
          <w:i w:val="false"/>
          <w:iCs w:val="false"/>
          <w:color w:val="1A2233"/>
          <w:sz w:val="21"/>
          <w:szCs w:val="21"/>
        </w:rPr>
        <w:t xml:space="preserve">A replayed checklist completion is a no-op rather than double-recording it; evidence submission accepts a client-generated request ID so a dropped response and its retry can never create duplicate evidence.</w:t>
      </w:r>
    </w:p>
    <w:p>
      <w:pPr>
        <w:pStyle w:val="Heading1"/>
        <w:pBdr>
          <w:bottom w:val="single" w:color="0F6E5C" w:sz="8" w:space="6"/>
        </w:pBdr>
        <w:spacing w:after="200" w:before="480"/>
      </w:pPr>
      <w:r>
        <w:rPr>
          <w:rFonts w:ascii="Georgia" w:cs="Georgia" w:eastAsia="Georgia" w:hAnsi="Georgia"/>
          <w:b/>
          <w:bCs/>
          <w:color w:val="0B4F42"/>
          <w:sz w:val="30"/>
          <w:szCs w:val="30"/>
        </w:rPr>
        <w:t xml:space="preserve">8. Financial Systems &amp; Governance Controls</w:t>
      </w:r>
    </w:p>
    <w:p>
      <w:pPr>
        <w:spacing w:after="160" w:line="300"/>
      </w:pPr>
      <w:r>
        <w:rPr>
          <w:rFonts w:ascii="Calibri" w:cs="Calibri" w:eastAsia="Calibri" w:hAnsi="Calibri"/>
          <w:color w:val="1A2233"/>
          <w:sz w:val="21"/>
          <w:szCs w:val="21"/>
        </w:rPr>
        <w:t xml:space="preserve">The commerce layer underneath the case engine, covering the full lifecycle of money moving through the platform — quoting, collection, refunding, reconciling, and the governance controls that keep any single actor from unilaterally moving money without a trail.</w:t>
      </w:r>
    </w:p>
    <w:p>
      <w:pPr>
        <w:pStyle w:val="ListParagraph"/>
        <w:numPr>
          <w:ilvl w:val="0"/>
          <w:numId w:val="1"/>
        </w:numPr>
        <w:spacing w:after="100" w:line="290"/>
      </w:pPr>
      <w:r>
        <w:rPr>
          <w:rFonts w:ascii="Calibri" w:cs="Calibri" w:eastAsia="Calibri" w:hAnsi="Calibri"/>
          <w:color w:val="1A2233"/>
          <w:sz w:val="21"/>
          <w:szCs w:val="21"/>
        </w:rPr>
        <w:t xml:space="preserve">Real Paystack integration for hosted checkout and independently-verified webhook signatures — see Section 4.2.</w:t>
      </w:r>
    </w:p>
    <w:p>
      <w:pPr>
        <w:pStyle w:val="ListParagraph"/>
        <w:numPr>
          <w:ilvl w:val="0"/>
          <w:numId w:val="1"/>
        </w:numPr>
        <w:spacing w:after="100" w:line="290"/>
      </w:pPr>
      <w:r>
        <w:rPr>
          <w:rFonts w:ascii="Calibri" w:cs="Calibri" w:eastAsia="Calibri" w:hAnsi="Calibri"/>
          <w:color w:val="1A2233"/>
          <w:sz w:val="21"/>
          <w:szCs w:val="21"/>
        </w:rPr>
        <w:t xml:space="preserve">Categorized quote lines with discount/SC math scoped correctly to the service fee only — see Section 4.2.</w:t>
      </w:r>
    </w:p>
    <w:p>
      <w:pPr>
        <w:pStyle w:val="ListParagraph"/>
        <w:numPr>
          <w:ilvl w:val="0"/>
          <w:numId w:val="1"/>
        </w:numPr>
        <w:spacing w:after="100" w:line="290"/>
      </w:pPr>
      <w:r>
        <w:rPr>
          <w:rFonts w:ascii="Calibri" w:cs="Calibri" w:eastAsia="Calibri" w:hAnsi="Calibri"/>
          <w:color w:val="1A2233"/>
          <w:sz w:val="21"/>
          <w:szCs w:val="21"/>
        </w:rPr>
        <w:t xml:space="preserve">Quote and payment expiry sweeps that keep stuck states from accumulating silently — see Section 4.2.</w:t>
      </w:r>
    </w:p>
    <w:p>
      <w:pPr>
        <w:pStyle w:val="ListParagraph"/>
        <w:numPr>
          <w:ilvl w:val="0"/>
          <w:numId w:val="1"/>
        </w:numPr>
        <w:spacing w:after="100" w:line="290"/>
      </w:pPr>
      <w:r>
        <w:rPr>
          <w:rFonts w:ascii="Calibri" w:cs="Calibri" w:eastAsia="Calibri" w:hAnsi="Calibri"/>
          <w:color w:val="1A2233"/>
          <w:sz w:val="21"/>
          <w:szCs w:val="21"/>
        </w:rPr>
        <w:t xml:space="preserve">Full/partial refunds with an over-refund guard, and a maker-checker approval threshold above which a second, different authorized actor must approve before money moves.</w:t>
      </w:r>
    </w:p>
    <w:p>
      <w:pPr>
        <w:pStyle w:val="ListParagraph"/>
        <w:numPr>
          <w:ilvl w:val="0"/>
          <w:numId w:val="1"/>
        </w:numPr>
        <w:spacing w:after="100" w:line="290"/>
      </w:pPr>
      <w:r>
        <w:rPr>
          <w:rFonts w:ascii="Calibri" w:cs="Calibri" w:eastAsia="Calibri" w:hAnsi="Calibri"/>
          <w:color w:val="1A2233"/>
          <w:sz w:val="21"/>
          <w:szCs w:val="21"/>
        </w:rPr>
        <w:t xml:space="preserve">Payment reconciliation resolution — a durable, actionable path out of a webhook amount-mismatch state, always noted, always append-only.</w:t>
      </w:r>
    </w:p>
    <w:p>
      <w:pPr>
        <w:pStyle w:val="ListParagraph"/>
        <w:numPr>
          <w:ilvl w:val="0"/>
          <w:numId w:val="1"/>
        </w:numPr>
        <w:spacing w:after="100" w:line="290"/>
      </w:pPr>
      <w:r>
        <w:rPr>
          <w:rFonts w:ascii="Calibri" w:cs="Calibri" w:eastAsia="Calibri" w:hAnsi="Calibri"/>
          <w:color w:val="1A2233"/>
          <w:sz w:val="21"/>
          <w:szCs w:val="21"/>
        </w:rPr>
        <w:t xml:space="preserve">Direct case cost tracking feeding real contribution-margin analytics, visible only to Finance.</w:t>
      </w:r>
    </w:p>
    <w:p>
      <w:pPr>
        <w:pStyle w:val="ListParagraph"/>
        <w:numPr>
          <w:ilvl w:val="0"/>
          <w:numId w:val="1"/>
        </w:numPr>
        <w:spacing w:after="100" w:line="290"/>
      </w:pPr>
      <w:r>
        <w:rPr>
          <w:rFonts w:ascii="Calibri" w:cs="Calibri" w:eastAsia="Calibri" w:hAnsi="Calibri"/>
          <w:color w:val="1A2233"/>
          <w:sz w:val="21"/>
          <w:szCs w:val="21"/>
        </w:rPr>
        <w:t xml:space="preserve">An append-only Special Credit ledger and admin-configurable membership pricing with a locked-vs-live split protecting existing subscribers from retroactive price changes.</w:t>
      </w:r>
    </w:p>
    <w:p>
      <w:pPr>
        <w:pStyle w:val="ListParagraph"/>
        <w:numPr>
          <w:ilvl w:val="0"/>
          <w:numId w:val="1"/>
        </w:numPr>
        <w:spacing w:after="100" w:line="290"/>
      </w:pPr>
      <w:r>
        <w:rPr>
          <w:rFonts w:ascii="Calibri" w:cs="Calibri" w:eastAsia="Calibri" w:hAnsi="Calibri"/>
          <w:color w:val="1A2233"/>
          <w:sz w:val="21"/>
          <w:szCs w:val="21"/>
        </w:rPr>
        <w:t xml:space="preserve">Bounded, automatic subscription billing that lapses rather than accumulates unpaid debt.</w:t>
      </w:r>
    </w:p>
    <w:p>
      <w:pPr>
        <w:pStyle w:val="Heading1"/>
        <w:pBdr>
          <w:bottom w:val="single" w:color="0F6E5C" w:sz="8" w:space="6"/>
        </w:pBdr>
        <w:spacing w:after="200" w:before="480"/>
      </w:pPr>
      <w:r>
        <w:rPr>
          <w:rFonts w:ascii="Georgia" w:cs="Georgia" w:eastAsia="Georgia" w:hAnsi="Georgia"/>
          <w:b/>
          <w:bCs/>
          <w:color w:val="0B4F42"/>
          <w:sz w:val="30"/>
          <w:szCs w:val="30"/>
        </w:rPr>
        <w:t xml:space="preserve">9. AI &amp; Automation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AI Diaspora Concierge (intake) — </w:t>
      </w:r>
      <w:r>
        <w:rPr>
          <w:rFonts w:ascii="Calibri" w:cs="Calibri" w:eastAsia="Calibri" w:hAnsi="Calibri"/>
          <w:b w:val="false"/>
          <w:bCs w:val="false"/>
          <w:i w:val="false"/>
          <w:iCs w:val="false"/>
          <w:color w:val="1A2233"/>
          <w:sz w:val="21"/>
          <w:szCs w:val="21"/>
        </w:rPr>
        <w:t xml:space="preserve">The first point of contact for a new request — structured, tool-based output only, deterministic lead scoring in plain code (never a model judgment call), and every completed intake audited as AI-attributed. Fails closed without a configured API key rather than degrading silently.</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Personal AI assistant (existing customers) — </w:t>
      </w:r>
      <w:r>
        <w:rPr>
          <w:rFonts w:ascii="Calibri" w:cs="Calibri" w:eastAsia="Calibri" w:hAnsi="Calibri"/>
          <w:b w:val="false"/>
          <w:bCs w:val="false"/>
          <w:i w:val="false"/>
          <w:iCs w:val="false"/>
          <w:color w:val="1A2233"/>
          <w:sz w:val="21"/>
          <w:szCs w:val="21"/>
        </w:rPr>
        <w:t xml:space="preserve">A distinct, more limited surface: answers an existing customer's questions about their own cases, subscription, and saved resources, grounded only in a context block of that customer's real data — no tool-use, no mutation, nothing invented, and the same fail-closed behaviour without a configured key.</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WhatsApp integration (Zavu) — </w:t>
      </w:r>
      <w:r>
        <w:rPr>
          <w:rFonts w:ascii="Calibri" w:cs="Calibri" w:eastAsia="Calibri" w:hAnsi="Calibri"/>
          <w:b w:val="false"/>
          <w:bCs w:val="false"/>
          <w:i w:val="false"/>
          <w:iCs w:val="false"/>
          <w:color w:val="1A2233"/>
          <w:sz w:val="21"/>
          <w:szCs w:val="21"/>
        </w:rPr>
        <w:t xml:space="preserve">Outbound sending, inbound message handling, phone-only customer auto-creation, and server-side conversation-history persistence all reuse the exact same conversational engine as the web chat. Outbound has been smoke-tested against the live provider sandbox and confirmed working; inbound signature verification remains a shared-secret stand-in pending public confirmation of the provider's real signing scheme — flagged explicitly rather than quietly assumed.</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AI safety testing — </w:t>
      </w:r>
      <w:r>
        <w:rPr>
          <w:rFonts w:ascii="Calibri" w:cs="Calibri" w:eastAsia="Calibri" w:hAnsi="Calibri"/>
          <w:b w:val="false"/>
          <w:bCs w:val="false"/>
          <w:i w:val="false"/>
          <w:iCs w:val="false"/>
          <w:color w:val="1A2233"/>
          <w:sz w:val="21"/>
          <w:szCs w:val="21"/>
        </w:rPr>
        <w:t xml:space="preserve">A dedicated unit-test suite mocks the model to return attacker-shaped tool output — extra fields, an out-of-range score, a refused tool call — and proves the surrounding code enforces its trust boundaries regardless: the model can never set a customer's identity itself, an out-of-range score is clamped rather than trusted, and a refused structured response throws rather than silently falling back to freeform parsing.</w:t>
      </w:r>
    </w:p>
    <w:p>
      <w:pPr>
        <w:pStyle w:val="Heading1"/>
        <w:pBdr>
          <w:bottom w:val="single" w:color="0F6E5C" w:sz="8" w:space="6"/>
        </w:pBdr>
        <w:spacing w:after="200" w:before="480"/>
      </w:pPr>
      <w:r>
        <w:rPr>
          <w:rFonts w:ascii="Georgia" w:cs="Georgia" w:eastAsia="Georgia" w:hAnsi="Georgia"/>
          <w:b/>
          <w:bCs/>
          <w:color w:val="0B4F42"/>
          <w:sz w:val="30"/>
          <w:szCs w:val="30"/>
        </w:rPr>
        <w:t xml:space="preserve">10. Diaspora-Specific Verticals &amp; Strategic Additions</w:t>
      </w:r>
    </w:p>
    <w:p>
      <w:pPr>
        <w:spacing w:after="160" w:line="300"/>
      </w:pPr>
      <w:r>
        <w:rPr>
          <w:rFonts w:ascii="Calibri" w:cs="Calibri" w:eastAsia="Calibri" w:hAnsi="Calibri"/>
          <w:color w:val="1A2233"/>
          <w:sz w:val="21"/>
          <w:szCs w:val="21"/>
        </w:rPr>
        <w:t xml:space="preserve">Beyond the core spec, a further pass evaluated the platform against the question "what would make this a genuine one-stop destination for diaspora support" and built the four highest-value, best-scoped answers end-to-end — each following the exact same build discipline as everything else in this document.</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Expanded service catalogue — </w:t>
      </w:r>
      <w:r>
        <w:rPr>
          <w:rFonts w:ascii="Calibri" w:cs="Calibri" w:eastAsia="Calibri" w:hAnsi="Calibri"/>
          <w:b w:val="false"/>
          <w:bCs w:val="false"/>
          <w:i w:val="false"/>
          <w:iCs w:val="false"/>
          <w:color w:val="1A2233"/>
          <w:sz w:val="21"/>
          <w:szCs w:val="21"/>
        </w:rPr>
        <w:t xml:space="preserve">The three MVP services are joined by five more categories — Family Support, Procurement, Business Verification, Investment Support, Agriculture Support — each with its own standard checklist, riding the same case engine and QC/evidence/report pipeline with no new workflow to build or maintain.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Bereavement &amp; funeral logistics — </w:t>
      </w:r>
      <w:r>
        <w:rPr>
          <w:rFonts w:ascii="Calibri" w:cs="Calibri" w:eastAsia="Calibri" w:hAnsi="Calibri"/>
          <w:b w:val="false"/>
          <w:bCs w:val="false"/>
          <w:i w:val="false"/>
          <w:iCs w:val="false"/>
          <w:color w:val="1A2233"/>
          <w:sz w:val="21"/>
          <w:szCs w:val="21"/>
        </w:rPr>
        <w:t xml:space="preserve">The single most time-critical, emotionally-sensitive service on the catalogue. Exposed and closed a real small gap along the way: SLA targets previously keyed only off manually-chosen priority, so an unqualified triage could silently land a bereavement case on the same 72-hour clock as a routine inspection. This service now defaults to urgent (24-hour) unless staff explicitly choose otherwise, and its checklist is a vendor-coordination one — mortuary, venue, and permit chain — rather than an inspection template.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Beneficiary portal access — </w:t>
      </w:r>
      <w:r>
        <w:rPr>
          <w:rFonts w:ascii="Calibri" w:cs="Calibri" w:eastAsia="Calibri" w:hAnsi="Calibri"/>
          <w:b w:val="false"/>
          <w:bCs w:val="false"/>
          <w:i w:val="false"/>
          <w:iCs w:val="false"/>
          <w:color w:val="1A2233"/>
          <w:sz w:val="21"/>
          <w:szCs w:val="21"/>
        </w:rPr>
        <w:t xml:space="preserve">Described fully in Section 5 — the person a case is actually for gets their own real, curated, read-only login.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Customer portfolio dashboard — </w:t>
      </w:r>
      <w:r>
        <w:rPr>
          <w:rFonts w:ascii="Calibri" w:cs="Calibri" w:eastAsia="Calibri" w:hAnsi="Calibri"/>
          <w:b w:val="false"/>
          <w:bCs w:val="false"/>
          <w:i w:val="false"/>
          <w:iCs w:val="false"/>
          <w:color w:val="1A2233"/>
          <w:sz w:val="21"/>
          <w:szCs w:val="21"/>
        </w:rPr>
        <w:t xml:space="preserve">Described fully in Section 5 — the one-screen view of a customer's whole relationship with the platform, deliberately scoped to the individual customer with no cross-Account visibility (a real product question that was surfaced and explicitly resolved rather than guessed at).</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Public trust / social-proof page — </w:t>
      </w:r>
      <w:r>
        <w:rPr>
          <w:rFonts w:ascii="Calibri" w:cs="Calibri" w:eastAsia="Calibri" w:hAnsi="Calibri"/>
          <w:b w:val="false"/>
          <w:bCs w:val="false"/>
          <w:i w:val="false"/>
          <w:iCs w:val="false"/>
          <w:color w:val="1A2233"/>
          <w:sz w:val="21"/>
          <w:szCs w:val="21"/>
        </w:rPr>
        <w:t xml:space="preserve">Described fully in Section 5 — an unauthenticated page that only ever shows what customers explicitly opted to make public, aggregated and anonymized.</w:t>
      </w:r>
    </w:p>
    <w:p>
      <w:pPr>
        <w:pStyle w:val="Heading1"/>
        <w:pBdr>
          <w:bottom w:val="single" w:color="0F6E5C" w:sz="8" w:space="6"/>
        </w:pBdr>
        <w:spacing w:after="200" w:before="480"/>
      </w:pPr>
      <w:r>
        <w:rPr>
          <w:rFonts w:ascii="Georgia" w:cs="Georgia" w:eastAsia="Georgia" w:hAnsi="Georgia"/>
          <w:b/>
          <w:bCs/>
          <w:color w:val="0B4F42"/>
          <w:sz w:val="30"/>
          <w:szCs w:val="30"/>
        </w:rPr>
        <w:t xml:space="preserve">11. Security &amp; Trust Architecture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Case-scoped access control — </w:t>
      </w:r>
      <w:r>
        <w:rPr>
          <w:rFonts w:ascii="Calibri" w:cs="Calibri" w:eastAsia="Calibri" w:hAnsi="Calibri"/>
          <w:b w:val="false"/>
          <w:bCs w:val="false"/>
          <w:i w:val="false"/>
          <w:iCs w:val="false"/>
          <w:color w:val="1A2233"/>
          <w:sz w:val="21"/>
          <w:szCs w:val="21"/>
        </w:rPr>
        <w:t xml:space="preserve">The platform's central non-negotiable: role membership alone is never sufficient to see or act on a specific case. A dedicated guard checks a real relationship — ownership, collaborator attachment, assignment, or named-beneficiary status — on every case-scoped route.</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Mandatory MFA for privileged roles — </w:t>
      </w:r>
      <w:r>
        <w:rPr>
          <w:rFonts w:ascii="Calibri" w:cs="Calibri" w:eastAsia="Calibri" w:hAnsi="Calibri"/>
          <w:b w:val="false"/>
          <w:bCs w:val="false"/>
          <w:i w:val="false"/>
          <w:iCs w:val="false"/>
          <w:color w:val="1A2233"/>
          <w:sz w:val="21"/>
          <w:szCs w:val="21"/>
        </w:rPr>
        <w:t xml:space="preserve">Admin, Super Admin, Finance, and Compliance/Risk logins now return no usable session at all until TOTP MFA is enrolled — enforced entirely server-side by withholding the session token, not by hiding a UI button, so there is no path to a privileged account's data without completing enrollment regardless of what the frontend does.</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Self-rolled authentication foundation — </w:t>
      </w:r>
      <w:r>
        <w:rPr>
          <w:rFonts w:ascii="Calibri" w:cs="Calibri" w:eastAsia="Calibri" w:hAnsi="Calibri"/>
          <w:b w:val="false"/>
          <w:bCs w:val="false"/>
          <w:i w:val="false"/>
          <w:iCs w:val="false"/>
          <w:color w:val="1A2233"/>
          <w:sz w:val="21"/>
          <w:szCs w:val="21"/>
        </w:rPr>
        <w:t xml:space="preserve">JWT access/refresh tokens, TOTP-based MFA (enroll, confirm, login-challenge), password reset that never reveals whether an email exists and revokes every existing session on use, on-demand full session revocation, and a tighter brute-force throttle on authentication endpoints specifically.</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PII redaction for restricted staff roles — </w:t>
      </w:r>
      <w:r>
        <w:rPr>
          <w:rFonts w:ascii="Calibri" w:cs="Calibri" w:eastAsia="Calibri" w:hAnsi="Calibri"/>
          <w:b w:val="false"/>
          <w:bCs w:val="false"/>
          <w:i w:val="false"/>
          <w:iCs w:val="false"/>
          <w:color w:val="1A2233"/>
          <w:sz w:val="21"/>
          <w:szCs w:val="21"/>
        </w:rPr>
        <w:t xml:space="preserve">Case Manager, QC, Finance, and Compliance/Risk see a customer's case number, never their name or contact details, everywhere staff can reach that data — the queue, case detail, and the customer service-history lookup. Relationship Manager and Admin are unaffected, matching who actually needs the identity to do their job.</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Document classification — </w:t>
      </w:r>
      <w:r>
        <w:rPr>
          <w:rFonts w:ascii="Calibri" w:cs="Calibri" w:eastAsia="Calibri" w:hAnsi="Calibri"/>
          <w:b w:val="false"/>
          <w:bCs w:val="false"/>
          <w:i w:val="false"/>
          <w:iCs w:val="false"/>
          <w:color w:val="1A2233"/>
          <w:sz w:val="21"/>
          <w:szCs w:val="21"/>
        </w:rPr>
        <w:t xml:space="preserve">A document can be marked staff-only or restricted to one specific assignment, with a field actor's view filtered accordingly on every path that returns it.</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Object storage with signed access only — </w:t>
      </w:r>
      <w:r>
        <w:rPr>
          <w:rFonts w:ascii="Calibri" w:cs="Calibri" w:eastAsia="Calibri" w:hAnsi="Calibri"/>
          <w:b w:val="false"/>
          <w:bCs w:val="false"/>
          <w:i w:val="false"/>
          <w:iCs w:val="false"/>
          <w:color w:val="1A2233"/>
          <w:sz w:val="21"/>
          <w:szCs w:val="21"/>
        </w:rPr>
        <w:t xml:space="preserve">Evidence and document storage keys are issued exclusively by the backend, scoped to a specific case, with upload authorized via short-lived signed URLs and every read served back through a short-lived signed view URL — never a predictable public path.</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Comprehensive, append-only audit logging — </w:t>
      </w:r>
      <w:r>
        <w:rPr>
          <w:rFonts w:ascii="Calibri" w:cs="Calibri" w:eastAsia="Calibri" w:hAnsi="Calibri"/>
          <w:b w:val="false"/>
          <w:bCs w:val="false"/>
          <w:i w:val="false"/>
          <w:iCs w:val="false"/>
          <w:color w:val="1A2233"/>
          <w:sz w:val="21"/>
          <w:szCs w:val="21"/>
        </w:rPr>
        <w:t xml:space="preserve">Every material state-changing action across the entire application is recorded, forming a complete per-case trail as well as a searchable, filterable global log for Admin/Super Admin.</w:t>
      </w:r>
    </w:p>
    <w:p>
      <w:pPr>
        <w:pStyle w:val="ListParagraph"/>
        <w:numPr>
          <w:ilvl w:val="0"/>
          <w:numId w:val="1"/>
        </w:numPr>
        <w:spacing w:after="100" w:line="290"/>
      </w:pPr>
      <w:r>
        <w:rPr>
          <w:rFonts w:ascii="Calibri" w:cs="Calibri" w:eastAsia="Calibri" w:hAnsi="Calibri"/>
          <w:b/>
          <w:bCs/>
          <w:i w:val="false"/>
          <w:iCs w:val="false"/>
          <w:color w:val="0B4F42"/>
          <w:sz w:val="21"/>
          <w:szCs w:val="21"/>
        </w:rPr>
        <w:t xml:space="preserve">A dedicated automated authorization test suite — </w:t>
      </w:r>
      <w:r>
        <w:rPr>
          <w:rFonts w:ascii="Calibri" w:cs="Calibri" w:eastAsia="Calibri" w:hAnsi="Calibri"/>
          <w:b w:val="false"/>
          <w:bCs w:val="false"/>
          <w:i w:val="false"/>
          <w:iCs w:val="false"/>
          <w:color w:val="1A2233"/>
          <w:sz w:val="21"/>
          <w:szCs w:val="21"/>
        </w:rPr>
        <w:t xml:space="preserve">Thirty-five tests covering cross-customer IDOR, field-actor BOLA, the org-wide-queue-vs-case-content-access distinction, document classification, PII redaction, partner-role isolation, and role-mismatched privilege escalation attempts — independently confirmed to actually catch a regression, not just pass by construction.</w:t>
      </w:r>
    </w:p>
    <w:p>
      <w:pPr>
        <w:pStyle w:val="Heading1"/>
        <w:pBdr>
          <w:bottom w:val="single" w:color="0F6E5C" w:sz="8" w:space="6"/>
        </w:pBdr>
        <w:spacing w:after="200" w:before="480"/>
      </w:pPr>
      <w:r>
        <w:rPr>
          <w:rFonts w:ascii="Georgia" w:cs="Georgia" w:eastAsia="Georgia" w:hAnsi="Georgia"/>
          <w:b/>
          <w:bCs/>
          <w:color w:val="0B4F42"/>
          <w:sz w:val="30"/>
          <w:szCs w:val="30"/>
        </w:rPr>
        <w:t xml:space="preserve">12. Production Hardening &amp; Operational Readiness</w:t>
      </w:r>
    </w:p>
    <w:p>
      <w:pPr>
        <w:spacing w:after="160" w:line="300"/>
      </w:pPr>
      <w:r>
        <w:rPr>
          <w:rFonts w:ascii="Calibri" w:cs="Calibri" w:eastAsia="Calibri" w:hAnsi="Calibri"/>
          <w:color w:val="1A2233"/>
          <w:sz w:val="21"/>
          <w:szCs w:val="21"/>
        </w:rPr>
        <w:t xml:space="preserve">An independent build-readiness review flagged a set of launch-critical gaps; every one addressable in code — as opposed to needing a live external account, hosting infrastructure, or a written operating procedure — is closed and covered by automated tests.</w:t>
      </w:r>
    </w:p>
    <w:p>
      <w:pPr>
        <w:pStyle w:val="ListParagraph"/>
        <w:numPr>
          <w:ilvl w:val="0"/>
          <w:numId w:val="1"/>
        </w:numPr>
        <w:spacing w:after="100" w:line="290"/>
      </w:pPr>
      <w:r>
        <w:rPr>
          <w:rFonts w:ascii="Calibri" w:cs="Calibri" w:eastAsia="Calibri" w:hAnsi="Calibri"/>
          <w:color w:val="1A2233"/>
          <w:sz w:val="21"/>
          <w:szCs w:val="21"/>
        </w:rPr>
        <w:t xml:space="preserve">Payment webhook failure handling — a failed charge event is now recorded and the customer told, never silently dropped.</w:t>
      </w:r>
    </w:p>
    <w:p>
      <w:pPr>
        <w:pStyle w:val="ListParagraph"/>
        <w:numPr>
          <w:ilvl w:val="0"/>
          <w:numId w:val="1"/>
        </w:numPr>
        <w:spacing w:after="100" w:line="290"/>
      </w:pPr>
      <w:r>
        <w:rPr>
          <w:rFonts w:ascii="Calibri" w:cs="Calibri" w:eastAsia="Calibri" w:hAnsi="Calibri"/>
          <w:color w:val="1A2233"/>
          <w:sz w:val="21"/>
          <w:szCs w:val="21"/>
        </w:rPr>
        <w:t xml:space="preserve">Offline-queue idempotency — replayed field-app actions can never double-record (see Section 7).</w:t>
      </w:r>
    </w:p>
    <w:p>
      <w:pPr>
        <w:pStyle w:val="ListParagraph"/>
        <w:numPr>
          <w:ilvl w:val="0"/>
          <w:numId w:val="1"/>
        </w:numPr>
        <w:spacing w:after="100" w:line="290"/>
      </w:pPr>
      <w:r>
        <w:rPr>
          <w:rFonts w:ascii="Calibri" w:cs="Calibri" w:eastAsia="Calibri" w:hAnsi="Calibri"/>
          <w:color w:val="1A2233"/>
          <w:sz w:val="21"/>
          <w:szCs w:val="21"/>
        </w:rPr>
        <w:t xml:space="preserve">Fail-fast startup validation — the backend refuses to boot in production with missing, too-short, or still-default secrets, an unset database URL, or a wide-open CORS origin, collecting every problem into one error rather than failing on the first.</w:t>
      </w:r>
    </w:p>
    <w:p>
      <w:pPr>
        <w:pStyle w:val="ListParagraph"/>
        <w:numPr>
          <w:ilvl w:val="0"/>
          <w:numId w:val="1"/>
        </w:numPr>
        <w:spacing w:after="100" w:line="290"/>
      </w:pPr>
      <w:r>
        <w:rPr>
          <w:rFonts w:ascii="Calibri" w:cs="Calibri" w:eastAsia="Calibri" w:hAnsi="Calibri"/>
          <w:color w:val="1A2233"/>
          <w:sz w:val="21"/>
          <w:szCs w:val="21"/>
        </w:rPr>
        <w:t xml:space="preserve">Three distinct environment templates (development, staging, production) with explicit guidance on what must never be shared between them.</w:t>
      </w:r>
    </w:p>
    <w:p>
      <w:pPr>
        <w:pStyle w:val="ListParagraph"/>
        <w:numPr>
          <w:ilvl w:val="0"/>
          <w:numId w:val="1"/>
        </w:numPr>
        <w:spacing w:after="100" w:line="290"/>
      </w:pPr>
      <w:r>
        <w:rPr>
          <w:rFonts w:ascii="Calibri" w:cs="Calibri" w:eastAsia="Calibri" w:hAnsi="Calibri"/>
          <w:color w:val="1A2233"/>
          <w:sz w:val="21"/>
          <w:szCs w:val="21"/>
        </w:rPr>
        <w:t xml:space="preserve">Liveness and readiness health endpoints, unauthenticated and exempt from rate limiting, so a managed host can stop routing traffic to an instance that's up but can't reach the database.</w:t>
      </w:r>
    </w:p>
    <w:p>
      <w:pPr>
        <w:pStyle w:val="ListParagraph"/>
        <w:numPr>
          <w:ilvl w:val="0"/>
          <w:numId w:val="1"/>
        </w:numPr>
        <w:spacing w:after="100" w:line="290"/>
      </w:pPr>
      <w:r>
        <w:rPr>
          <w:rFonts w:ascii="Calibri" w:cs="Calibri" w:eastAsia="Calibri" w:hAnsi="Calibri"/>
          <w:color w:val="1A2233"/>
          <w:sz w:val="21"/>
          <w:szCs w:val="21"/>
        </w:rPr>
        <w:t xml:space="preserve">A continuous-integration pipeline running the full backend suite (unit and end-to-end, against a real Postgres service container) and the frontend build on every push — there was no CI at all before this pass.</w:t>
      </w:r>
    </w:p>
    <w:p>
      <w:pPr>
        <w:pStyle w:val="ListParagraph"/>
        <w:numPr>
          <w:ilvl w:val="0"/>
          <w:numId w:val="1"/>
        </w:numPr>
        <w:spacing w:after="100" w:line="290"/>
      </w:pPr>
      <w:r>
        <w:rPr>
          <w:rFonts w:ascii="Calibri" w:cs="Calibri" w:eastAsia="Calibri" w:hAnsi="Calibri"/>
          <w:color w:val="1A2233"/>
          <w:sz w:val="21"/>
          <w:szCs w:val="21"/>
        </w:rPr>
        <w:t xml:space="preserve">Deployment wiring for a managed host (Railway), gating deploys on the test suites actually passing.</w:t>
      </w:r>
    </w:p>
    <w:p>
      <w:pPr>
        <w:pStyle w:val="Heading1"/>
        <w:pBdr>
          <w:bottom w:val="single" w:color="0F6E5C" w:sz="8" w:space="6"/>
        </w:pBdr>
        <w:spacing w:after="200" w:before="480"/>
      </w:pPr>
      <w:r>
        <w:rPr>
          <w:rFonts w:ascii="Georgia" w:cs="Georgia" w:eastAsia="Georgia" w:hAnsi="Georgia"/>
          <w:b/>
          <w:bCs/>
          <w:color w:val="0B4F42"/>
          <w:sz w:val="30"/>
          <w:szCs w:val="30"/>
        </w:rPr>
        <w:t xml:space="preserve">13. Testing &amp; Quality Discipline</w:t>
      </w:r>
    </w:p>
    <w:p>
      <w:pPr>
        <w:spacing w:after="160" w:line="300"/>
      </w:pPr>
      <w:r>
        <w:rPr>
          <w:rFonts w:ascii="Calibri" w:cs="Calibri" w:eastAsia="Calibri" w:hAnsi="Calibri"/>
          <w:color w:val="1A2233"/>
          <w:sz w:val="21"/>
          <w:szCs w:val="21"/>
        </w:rPr>
        <w:t xml:space="preserve">Every feature in this document was built to the same verification standard, described here once rather than repeated feature by feature:</w:t>
      </w:r>
    </w:p>
    <w:tbl>
      <w:tblPr>
        <w:tblW w:type="pct" w:w="100%"/>
        <w:tblBorders>
          <w:top w:val="single" w:color="0F6E5C" w:sz="4"/>
          <w:left w:val="single" w:color="0F6E5C" w:sz="20"/>
          <w:bottom w:val="single" w:color="0F6E5C" w:sz="4"/>
          <w:right w:val="single" w:color="D9DEE3" w:sz="4"/>
          <w:insideH w:val="none" w:color="FFFFFF" w:sz="0"/>
          <w:insideV w:val="none" w:color="FFFFFF" w:sz="0"/>
        </w:tblBorders>
      </w:tblPr>
      <w:tblGrid>
        <w:gridCol w:w="100"/>
      </w:tblGrid>
      <w:tr>
        <w:tc>
          <w:tcPr>
            <w:shd w:fill="F2F6F4" w:color="auto" w:val="clear"/>
            <w:tcMar>
              <w:top w:type="dxa" w:w="160"/>
              <w:left w:type="dxa" w:w="260"/>
              <w:bottom w:type="dxa" w:w="160"/>
              <w:right w:type="dxa" w:w="260"/>
            </w:tcMar>
          </w:tcPr>
          <w:p>
            <w:pPr>
              <w:spacing w:after="0" w:line="280"/>
            </w:pPr>
            <w:r>
              <w:rPr>
                <w:rFonts w:ascii="Calibri" w:cs="Calibri" w:eastAsia="Calibri" w:hAnsi="Calibri"/>
                <w:i/>
                <w:iCs/>
                <w:color w:val="1A2233"/>
                <w:sz w:val="20"/>
                <w:szCs w:val="20"/>
              </w:rPr>
              <w:t xml:space="preserve">"Real app, real Postgres, no mocked services." The end-to-end suite boots the actual application and drives it over HTTP exactly the way a real client would, against a genuine database — never a stubbed guard or a mocked service standing in for the thing actually being tested.</w:t>
            </w:r>
          </w:p>
        </w:tc>
      </w:tr>
    </w:tbl>
    <w:p>
      <w:pPr>
        <w:spacing w:after="120"/>
      </w:pPr>
    </w:p>
    <w:p>
      <w:pPr>
        <w:spacing w:after="100" w:before="220"/>
      </w:pPr>
      <w:r>
        <w:rPr>
          <w:rFonts w:ascii="Calibri" w:cs="Calibri" w:eastAsia="Calibri" w:hAnsi="Calibri"/>
          <w:b/>
          <w:bCs/>
          <w:color w:val="0B4F42"/>
          <w:sz w:val="22"/>
          <w:szCs w:val="22"/>
        </w:rPr>
        <w:t xml:space="preserve">The negative-control discipline</w:t>
      </w:r>
    </w:p>
    <w:p>
      <w:pPr>
        <w:spacing w:after="160" w:line="300"/>
      </w:pPr>
      <w:r>
        <w:rPr>
          <w:rFonts w:ascii="Calibri" w:cs="Calibri" w:eastAsia="Calibri" w:hAnsi="Calibri"/>
          <w:color w:val="1A2233"/>
          <w:sz w:val="21"/>
          <w:szCs w:val="21"/>
        </w:rPr>
        <w:t xml:space="preserve">A passing test suite proves a feature behaves correctly when everything is wired up — it does not, by itself, prove the test would actually catch a regression. For every feature with a security guard, a financial calculation, or another correctness-critical rule, the enforcement was deliberately and temporarily disabled, the exact expected subset of tests was confirmed to fail, and the enforcement was then restored and the full suite reconfirmed passing. This surfaced and fixed several real issues along the way rather than just rubber-stamping the intended design — for example, an early version of one exact-math test turned out not to exercise its own guard at all (there was no non-qualifying data in the test to exclude), which was caught and corrected before being trusted.</w:t>
      </w:r>
    </w:p>
    <w:p>
      <w:pPr>
        <w:spacing w:after="80"/>
      </w:pPr>
    </w:p>
    <w:p>
      <w:pPr>
        <w:spacing w:after="100" w:before="220"/>
      </w:pPr>
      <w:r>
        <w:rPr>
          <w:rFonts w:ascii="Calibri" w:cs="Calibri" w:eastAsia="Calibri" w:hAnsi="Calibri"/>
          <w:b/>
          <w:bCs/>
          <w:color w:val="0B4F42"/>
          <w:sz w:val="22"/>
          <w:szCs w:val="22"/>
        </w:rPr>
        <w:t xml:space="preserve">End-to-end test coverage — by suite</w:t>
      </w:r>
    </w:p>
    <w:p>
      <w:pPr>
        <w:spacing w:after="160" w:line="300"/>
      </w:pPr>
      <w:r>
        <w:rPr>
          <w:rFonts w:ascii="Calibri" w:cs="Calibri" w:eastAsia="Calibri" w:hAnsi="Calibri"/>
          <w:i/>
          <w:iCs/>
          <w:color w:val="5B6472"/>
          <w:sz w:val="19"/>
          <w:szCs w:val="19"/>
        </w:rPr>
        <w:t xml:space="preserve">165 tests across 24 suites, backend/test/*.e2e-spec.ts:</w:t>
      </w:r>
    </w:p>
    <w:p>
      <w:pPr>
        <w:spacing w:after="60"/>
      </w:pPr>
    </w:p>
    <w:tbl>
      <w:tblPr>
        <w:tblW w:type="pct" w:w="100%"/>
        <w:tblBorders>
          <w:top w:val="single" w:color="D9DEE3" w:sz="4"/>
          <w:left w:val="single" w:color="D9DEE3" w:sz="4"/>
          <w:bottom w:val="single" w:color="D9DEE3" w:sz="4"/>
          <w:right w:val="single" w:color="D9DEE3" w:sz="4"/>
          <w:insideH w:val="single" w:color="D9DEE3" w:sz="2"/>
          <w:insideV w:val="single" w:color="D9DEE3" w:sz="2"/>
        </w:tblBorders>
      </w:tblPr>
      <w:tblGrid>
        <w:gridCol w:w="4200"/>
        <w:gridCol w:w="1000"/>
        <w:gridCol w:w="4800"/>
      </w:tblGrid>
      <w:tr>
        <w:trPr>
          <w:tblHeader/>
        </w:trPr>
        <w:tc>
          <w:tcPr>
            <w:tcW w:type="pct" w:w="42%"/>
            <w:shd w:fill="0F6E5C" w:color="auto" w:val="clear"/>
            <w:tcMar>
              <w:top w:type="dxa" w:w="90"/>
              <w:left w:type="dxa" w:w="120"/>
              <w:bottom w:type="dxa" w:w="90"/>
              <w:right w:type="dxa" w:w="120"/>
            </w:tcMar>
          </w:tcPr>
          <w:p>
            <w:r>
              <w:rPr>
                <w:rFonts w:ascii="Calibri" w:cs="Calibri" w:eastAsia="Calibri" w:hAnsi="Calibri"/>
                <w:b/>
                <w:bCs/>
                <w:color w:val="FFFFFF"/>
                <w:sz w:val="19"/>
                <w:szCs w:val="19"/>
              </w:rPr>
              <w:t xml:space="preserve">Suite</w:t>
            </w:r>
          </w:p>
        </w:tc>
        <w:tc>
          <w:tcPr>
            <w:tcW w:type="pct" w:w="10%"/>
            <w:shd w:fill="0F6E5C" w:color="auto" w:val="clear"/>
            <w:tcMar>
              <w:top w:type="dxa" w:w="90"/>
              <w:left w:type="dxa" w:w="120"/>
              <w:bottom w:type="dxa" w:w="90"/>
              <w:right w:type="dxa" w:w="120"/>
            </w:tcMar>
          </w:tcPr>
          <w:p>
            <w:pPr>
              <w:jc w:val="center"/>
            </w:pPr>
            <w:r>
              <w:rPr>
                <w:rFonts w:ascii="Calibri" w:cs="Calibri" w:eastAsia="Calibri" w:hAnsi="Calibri"/>
                <w:b/>
                <w:bCs/>
                <w:color w:val="FFFFFF"/>
                <w:sz w:val="19"/>
                <w:szCs w:val="19"/>
              </w:rPr>
              <w:t xml:space="preserve">Tests</w:t>
            </w:r>
          </w:p>
        </w:tc>
        <w:tc>
          <w:tcPr>
            <w:tcW w:type="pct" w:w="48%"/>
            <w:shd w:fill="0F6E5C"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it verifies</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authorization.e2e-spec.ts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35</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Cross-customer IDOR, field-actor BOLA, org-wide-queue-vs-content-access, document classification, curated-case-file PII redaction, partner isolation, role-mismatch escalation</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case-ownership-sla.e2e-spec.ts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9</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Case owner assignment, next-action tracking, SLA target computation</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scope.e2e-spec.ts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8</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Scope versioning gate before quoting, confirmation requirement</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case-hold-resume.e2e-spec.ts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8</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ON_HOLD entry/exit, heldFromStatus integrity</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membership.e2e-spec.ts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8</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Priority/Premium plans, SC ledger, discount math, eligible-request allowance</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refund-approval.e2e-spec.ts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8</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Maker-checker refund threshold, self-approval block</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audit-log.e2e-spec.ts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8</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Audit search filters, role gate, read-only guarantee</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beneficiary-portal.e2e-spec.ts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7</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Invite/claim flow, curated case view, cross-beneficiary isolation</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mandatory-mfa.e2e-spec.ts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7</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Privileged-role MFA enrollment gate, token-purpose isolation</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plan-config.e2e-spec.ts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7</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Live-read admin-configurable pricing, locked-at-subscribe amounts</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notification-retry.e2e-spec.ts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7</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Channel fan-out, retry-only-if-FAILED guard, zero-regression proof</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portfolio.e2e-spec.ts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7</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Exact-match spend, active/completed bucketing, upcoming visits</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reconciliation.e2e-spec.ts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6</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Payment mismatch resolution (MATCHED/REJECTED), append-only trail</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bereavement.e2e-spec.ts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5</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Default-urgent SLA override, vendor-coordination checklist</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trust.e2e-spec.ts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5</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Public-consent filtering, anonymized testimonials, unauthenticated access</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quote-expiry.e2e-spec.ts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5</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Validity window, accept-time rejection, reopen sweep</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privileged-auth.e2e-spec.ts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5</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MFA challenge, password reset, session revocation</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direct-costs.e2e-spec.ts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4</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Direct cost recording, contribution-margin exact math</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quote-line-categories.e2e-spec.ts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4</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Categorized quote lines, discount-scoped-to-service-fee math</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refund.e2e-spec.ts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4</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Full/partial refund, over-refund guard</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payment-expiry.e2e-spec.ts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3</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Stale PENDING payment sweep, cutoff comparison</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health.e2e-spec.ts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2</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Liveness and readiness probes</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qc-outcomes.e2e-spec.ts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2</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Six-outcome QC taxonomy, required-note enforcement</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job-card.e2e-spec.ts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1</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Confirmed-scope-only job card visibility</w:t>
            </w:r>
          </w:p>
        </w:tc>
      </w:tr>
    </w:tbl>
    <w:p>
      <w:pPr>
        <w:spacing w:after="200"/>
      </w:pPr>
    </w:p>
    <w:p>
      <w:pPr>
        <w:spacing w:after="100" w:before="220"/>
      </w:pPr>
      <w:r>
        <w:rPr>
          <w:rFonts w:ascii="Calibri" w:cs="Calibri" w:eastAsia="Calibri" w:hAnsi="Calibri"/>
          <w:b/>
          <w:bCs/>
          <w:color w:val="0B4F42"/>
          <w:sz w:val="22"/>
          <w:szCs w:val="22"/>
        </w:rPr>
        <w:t xml:space="preserve">Unit test coverage</w:t>
      </w:r>
    </w:p>
    <w:p>
      <w:pPr>
        <w:spacing w:after="160" w:line="300"/>
      </w:pPr>
      <w:r>
        <w:rPr>
          <w:rFonts w:ascii="Calibri" w:cs="Calibri" w:eastAsia="Calibri" w:hAnsi="Calibri"/>
          <w:i/>
          <w:iCs/>
          <w:color w:val="5B6472"/>
          <w:sz w:val="19"/>
          <w:szCs w:val="19"/>
        </w:rPr>
        <w:t xml:space="preserve">30 tests across 4 suites — used where a real external provider cannot be part of an automated run:</w:t>
      </w:r>
    </w:p>
    <w:p>
      <w:pPr>
        <w:spacing w:after="60"/>
      </w:pPr>
    </w:p>
    <w:tbl>
      <w:tblPr>
        <w:tblW w:type="pct" w:w="100%"/>
        <w:tblBorders>
          <w:top w:val="single" w:color="D9DEE3" w:sz="4"/>
          <w:left w:val="single" w:color="D9DEE3" w:sz="4"/>
          <w:bottom w:val="single" w:color="D9DEE3" w:sz="4"/>
          <w:right w:val="single" w:color="D9DEE3" w:sz="4"/>
          <w:insideH w:val="single" w:color="D9DEE3" w:sz="2"/>
          <w:insideV w:val="single" w:color="D9DEE3" w:sz="2"/>
        </w:tblBorders>
      </w:tblPr>
      <w:tblGrid>
        <w:gridCol w:w="4200"/>
        <w:gridCol w:w="1000"/>
        <w:gridCol w:w="4800"/>
      </w:tblGrid>
      <w:tr>
        <w:trPr>
          <w:tblHeader/>
        </w:trPr>
        <w:tc>
          <w:tcPr>
            <w:tcW w:type="pct" w:w="42%"/>
            <w:shd w:fill="0F6E5C" w:color="auto" w:val="clear"/>
            <w:tcMar>
              <w:top w:type="dxa" w:w="90"/>
              <w:left w:type="dxa" w:w="120"/>
              <w:bottom w:type="dxa" w:w="90"/>
              <w:right w:type="dxa" w:w="120"/>
            </w:tcMar>
          </w:tcPr>
          <w:p>
            <w:r>
              <w:rPr>
                <w:rFonts w:ascii="Calibri" w:cs="Calibri" w:eastAsia="Calibri" w:hAnsi="Calibri"/>
                <w:b/>
                <w:bCs/>
                <w:color w:val="FFFFFF"/>
                <w:sz w:val="19"/>
                <w:szCs w:val="19"/>
              </w:rPr>
              <w:t xml:space="preserve">Suite</w:t>
            </w:r>
          </w:p>
        </w:tc>
        <w:tc>
          <w:tcPr>
            <w:tcW w:type="pct" w:w="10%"/>
            <w:shd w:fill="0F6E5C" w:color="auto" w:val="clear"/>
            <w:tcMar>
              <w:top w:type="dxa" w:w="90"/>
              <w:left w:type="dxa" w:w="120"/>
              <w:bottom w:type="dxa" w:w="90"/>
              <w:right w:type="dxa" w:w="120"/>
            </w:tcMar>
          </w:tcPr>
          <w:p>
            <w:pPr>
              <w:jc w:val="center"/>
            </w:pPr>
            <w:r>
              <w:rPr>
                <w:rFonts w:ascii="Calibri" w:cs="Calibri" w:eastAsia="Calibri" w:hAnsi="Calibri"/>
                <w:b/>
                <w:bCs/>
                <w:color w:val="FFFFFF"/>
                <w:sz w:val="19"/>
                <w:szCs w:val="19"/>
              </w:rPr>
              <w:t xml:space="preserve">Tests</w:t>
            </w:r>
          </w:p>
        </w:tc>
        <w:tc>
          <w:tcPr>
            <w:tcW w:type="pct" w:w="48%"/>
            <w:shd w:fill="0F6E5C"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it verifies</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ai.service.spec.ts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11</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AI trust-boundary enforcement against attacker-shaped tool output</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validate-production-env.spec.ts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9</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Fail-fast startup validation for missing/weak production secrets</w:t>
            </w:r>
          </w:p>
        </w:tc>
      </w:tr>
      <w:tr>
        <w:tc>
          <w:tcPr>
            <w:shd w:fill="FFFFFF" w:color="auto" w:val="clear"/>
            <w:tcMar>
              <w:top w:type="dxa" w:w="80"/>
              <w:left w:type="dxa" w:w="120"/>
              <w:bottom w:type="dxa" w:w="80"/>
              <w:right w:type="dxa" w:w="120"/>
            </w:tcMar>
          </w:tcPr>
          <w:p>
            <w:r>
              <w:rPr>
                <w:rFonts w:ascii="Consolas" w:cs="Consolas" w:eastAsia="Consolas" w:hAnsi="Consolas"/>
                <w:color w:val="1A2233"/>
                <w:sz w:val="17"/>
                <w:szCs w:val="17"/>
              </w:rPr>
              <w:t xml:space="preserve">whatsapp-sender.service.spec.ts</w:t>
            </w:r>
          </w:p>
        </w:tc>
        <w:tc>
          <w:tcPr>
            <w:shd w:fill="FFFFFF"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6</w:t>
            </w:r>
          </w:p>
        </w:tc>
        <w:tc>
          <w:tcPr>
            <w:shd w:fill="FFFFFF" w:color="auto" w:val="clear"/>
            <w:tcMar>
              <w:top w:type="dxa" w:w="80"/>
              <w:left w:type="dxa" w:w="120"/>
              <w:bottom w:type="dxa" w:w="80"/>
              <w:right w:type="dxa" w:w="120"/>
            </w:tcMar>
          </w:tcPr>
          <w:p>
            <w:r>
              <w:rPr>
                <w:rFonts w:ascii="Calibri" w:cs="Calibri" w:eastAsia="Calibri" w:hAnsi="Calibri"/>
                <w:color w:val="5B6472"/>
                <w:sz w:val="18"/>
                <w:szCs w:val="18"/>
              </w:rPr>
              <w:t xml:space="preserve">Dry-run-safe outbound WhatsApp send behaviour</w:t>
            </w:r>
          </w:p>
        </w:tc>
      </w:tr>
      <w:tr>
        <w:tc>
          <w:tcPr>
            <w:shd w:fill="F2F6F4" w:color="auto" w:val="clear"/>
            <w:tcMar>
              <w:top w:type="dxa" w:w="80"/>
              <w:left w:type="dxa" w:w="120"/>
              <w:bottom w:type="dxa" w:w="80"/>
              <w:right w:type="dxa" w:w="120"/>
            </w:tcMar>
          </w:tcPr>
          <w:p>
            <w:r>
              <w:rPr>
                <w:rFonts w:ascii="Consolas" w:cs="Consolas" w:eastAsia="Consolas" w:hAnsi="Consolas"/>
                <w:color w:val="1A2233"/>
                <w:sz w:val="17"/>
                <w:szCs w:val="17"/>
              </w:rPr>
              <w:t xml:space="preserve">email.service.spec.ts</w:t>
            </w:r>
          </w:p>
        </w:tc>
        <w:tc>
          <w:tcPr>
            <w:shd w:fill="F2F6F4" w:color="auto" w:val="clear"/>
            <w:tcMar>
              <w:top w:type="dxa" w:w="80"/>
              <w:left w:type="dxa" w:w="120"/>
              <w:bottom w:type="dxa" w:w="80"/>
              <w:right w:type="dxa" w:w="120"/>
            </w:tcMar>
          </w:tcPr>
          <w:p>
            <w:pPr>
              <w:jc w:val="center"/>
            </w:pPr>
            <w:r>
              <w:rPr>
                <w:rFonts w:ascii="Calibri" w:cs="Calibri" w:eastAsia="Calibri" w:hAnsi="Calibri"/>
                <w:b/>
                <w:bCs/>
                <w:color w:val="0B4F42"/>
                <w:sz w:val="19"/>
                <w:szCs w:val="19"/>
              </w:rPr>
              <w:t xml:space="preserve">4</w:t>
            </w:r>
          </w:p>
        </w:tc>
        <w:tc>
          <w:tcPr>
            <w:shd w:fill="F2F6F4" w:color="auto" w:val="clear"/>
            <w:tcMar>
              <w:top w:type="dxa" w:w="80"/>
              <w:left w:type="dxa" w:w="120"/>
              <w:bottom w:type="dxa" w:w="80"/>
              <w:right w:type="dxa" w:w="120"/>
            </w:tcMar>
          </w:tcPr>
          <w:p>
            <w:r>
              <w:rPr>
                <w:rFonts w:ascii="Calibri" w:cs="Calibri" w:eastAsia="Calibri" w:hAnsi="Calibri"/>
                <w:color w:val="5B6472"/>
                <w:sz w:val="18"/>
                <w:szCs w:val="18"/>
              </w:rPr>
              <w:t xml:space="preserve">Dry-run-safe outbound email send behaviour</w:t>
            </w:r>
          </w:p>
        </w:tc>
      </w:tr>
    </w:tbl>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333333333333336%"/>
            <w:shd w:fill="F2F6F4" w:color="auto" w:val="clear"/>
            <w:tcMar>
              <w:top w:type="dxa" w:w="200"/>
              <w:left w:type="dxa" w:w="160"/>
              <w:bottom w:type="dxa" w:w="200"/>
              <w:right w:type="dxa" w:w="160"/>
            </w:tcMar>
          </w:tcPr>
          <w:p>
            <w:pPr>
              <w:spacing w:after="40"/>
              <w:jc w:val="center"/>
            </w:pPr>
            <w:r>
              <w:rPr>
                <w:rFonts w:ascii="Georgia" w:cs="Georgia" w:eastAsia="Georgia" w:hAnsi="Georgia"/>
                <w:b/>
                <w:bCs/>
                <w:color w:val="0B4F42"/>
                <w:sz w:val="32"/>
                <w:szCs w:val="32"/>
              </w:rPr>
              <w:t xml:space="preserve">195</w:t>
            </w:r>
          </w:p>
          <w:p>
            <w:pPr>
              <w:jc w:val="center"/>
            </w:pPr>
            <w:r>
              <w:rPr>
                <w:rFonts w:ascii="Calibri" w:cs="Calibri" w:eastAsia="Calibri" w:hAnsi="Calibri"/>
                <w:color w:val="5B6472"/>
                <w:sz w:val="16"/>
                <w:szCs w:val="16"/>
              </w:rPr>
              <w:t xml:space="preserve">Total automated tests</w:t>
            </w:r>
          </w:p>
        </w:tc>
        <w:tc>
          <w:tcPr>
            <w:tcW w:type="pct" w:w="33.333333333333336%"/>
            <w:shd w:fill="F2F6F4" w:color="auto" w:val="clear"/>
            <w:tcMar>
              <w:top w:type="dxa" w:w="200"/>
              <w:left w:type="dxa" w:w="160"/>
              <w:bottom w:type="dxa" w:w="200"/>
              <w:right w:type="dxa" w:w="160"/>
            </w:tcMar>
          </w:tcPr>
          <w:p>
            <w:pPr>
              <w:spacing w:after="40"/>
              <w:jc w:val="center"/>
            </w:pPr>
            <w:r>
              <w:rPr>
                <w:rFonts w:ascii="Georgia" w:cs="Georgia" w:eastAsia="Georgia" w:hAnsi="Georgia"/>
                <w:b/>
                <w:bCs/>
                <w:color w:val="0B4F42"/>
                <w:sz w:val="32"/>
                <w:szCs w:val="32"/>
              </w:rPr>
              <w:t xml:space="preserve">28</w:t>
            </w:r>
          </w:p>
          <w:p>
            <w:pPr>
              <w:jc w:val="center"/>
            </w:pPr>
            <w:r>
              <w:rPr>
                <w:rFonts w:ascii="Calibri" w:cs="Calibri" w:eastAsia="Calibri" w:hAnsi="Calibri"/>
                <w:color w:val="5B6472"/>
                <w:sz w:val="16"/>
                <w:szCs w:val="16"/>
              </w:rPr>
              <w:t xml:space="preserve">Total suites</w:t>
            </w:r>
          </w:p>
        </w:tc>
        <w:tc>
          <w:tcPr>
            <w:tcW w:type="pct" w:w="33.333333333333336%"/>
            <w:shd w:fill="F2F6F4" w:color="auto" w:val="clear"/>
            <w:tcMar>
              <w:top w:type="dxa" w:w="200"/>
              <w:left w:type="dxa" w:w="160"/>
              <w:bottom w:type="dxa" w:w="200"/>
              <w:right w:type="dxa" w:w="160"/>
            </w:tcMar>
          </w:tcPr>
          <w:p>
            <w:pPr>
              <w:spacing w:after="40"/>
              <w:jc w:val="center"/>
            </w:pPr>
            <w:r>
              <w:rPr>
                <w:rFonts w:ascii="Georgia" w:cs="Georgia" w:eastAsia="Georgia" w:hAnsi="Georgia"/>
                <w:b/>
                <w:bCs/>
                <w:color w:val="0B4F42"/>
                <w:sz w:val="32"/>
                <w:szCs w:val="32"/>
              </w:rPr>
              <w:t xml:space="preserve">0</w:t>
            </w:r>
          </w:p>
          <w:p>
            <w:pPr>
              <w:jc w:val="center"/>
            </w:pPr>
            <w:r>
              <w:rPr>
                <w:rFonts w:ascii="Calibri" w:cs="Calibri" w:eastAsia="Calibri" w:hAnsi="Calibri"/>
                <w:color w:val="5B6472"/>
                <w:sz w:val="16"/>
                <w:szCs w:val="16"/>
              </w:rPr>
              <w:t xml:space="preserve">Mocked services in the e2e suite</w:t>
            </w:r>
          </w:p>
        </w:tc>
      </w:tr>
    </w:tbl>
    <w:p>
      <w:pPr>
        <w:pStyle w:val="Heading1"/>
        <w:pBdr>
          <w:bottom w:val="single" w:color="0F6E5C" w:sz="8" w:space="6"/>
        </w:pBdr>
        <w:spacing w:after="200" w:before="480"/>
      </w:pPr>
      <w:r>
        <w:rPr>
          <w:rFonts w:ascii="Georgia" w:cs="Georgia" w:eastAsia="Georgia" w:hAnsi="Georgia"/>
          <w:b/>
          <w:bCs/>
          <w:color w:val="0B4F42"/>
          <w:sz w:val="30"/>
          <w:szCs w:val="30"/>
        </w:rPr>
        <w:t xml:space="preserve">14. What Has Not Been Built</w:t>
      </w:r>
    </w:p>
    <w:p>
      <w:pPr>
        <w:spacing w:after="160" w:line="300"/>
      </w:pPr>
      <w:r>
        <w:rPr>
          <w:rFonts w:ascii="Calibri" w:cs="Calibri" w:eastAsia="Calibri" w:hAnsi="Calibri"/>
          <w:color w:val="1A2233"/>
          <w:sz w:val="21"/>
          <w:szCs w:val="21"/>
        </w:rPr>
        <w:t xml:space="preserve">Deliberately out of scope, and why:</w:t>
      </w:r>
    </w:p>
    <w:p>
      <w:pPr>
        <w:spacing w:after="100" w:before="220"/>
      </w:pPr>
      <w:r>
        <w:rPr>
          <w:rFonts w:ascii="Calibri" w:cs="Calibri" w:eastAsia="Calibri" w:hAnsi="Calibri"/>
          <w:b/>
          <w:bCs/>
          <w:color w:val="0B4F42"/>
          <w:sz w:val="22"/>
          <w:szCs w:val="22"/>
        </w:rPr>
        <w:t xml:space="preserve">Explicitly deferred by the product specification itself</w:t>
      </w:r>
    </w:p>
    <w:p>
      <w:pPr>
        <w:pStyle w:val="ListParagraph"/>
        <w:numPr>
          <w:ilvl w:val="0"/>
          <w:numId w:val="1"/>
        </w:numPr>
        <w:spacing w:after="100" w:line="290"/>
      </w:pPr>
      <w:r>
        <w:rPr>
          <w:rFonts w:ascii="Calibri" w:cs="Calibri" w:eastAsia="Calibri" w:hAnsi="Calibri"/>
          <w:color w:val="1A2233"/>
          <w:sz w:val="21"/>
          <w:szCs w:val="21"/>
        </w:rPr>
        <w:t xml:space="preserve">White-labeling, public APIs, multi-country support, a full marketplace model, SaaS billing, a formal partner ecosystem, and predictive analytics — all named in the specification's own later-phase roadmap, past the current build horizon.</w:t>
      </w:r>
    </w:p>
    <w:p>
      <w:pPr>
        <w:spacing w:after="100" w:before="220"/>
      </w:pPr>
      <w:r>
        <w:rPr>
          <w:rFonts w:ascii="Calibri" w:cs="Calibri" w:eastAsia="Calibri" w:hAnsi="Calibri"/>
          <w:b/>
          <w:bCs/>
          <w:color w:val="0B4F42"/>
          <w:sz w:val="22"/>
          <w:szCs w:val="22"/>
        </w:rPr>
        <w:t xml:space="preserve">Explicitly ruled out as infrastructure to buy, not build</w:t>
      </w:r>
    </w:p>
    <w:p>
      <w:pPr>
        <w:pStyle w:val="ListParagraph"/>
        <w:numPr>
          <w:ilvl w:val="0"/>
          <w:numId w:val="1"/>
        </w:numPr>
        <w:spacing w:after="100" w:line="290"/>
      </w:pPr>
      <w:r>
        <w:rPr>
          <w:rFonts w:ascii="Calibri" w:cs="Calibri" w:eastAsia="Calibri" w:hAnsi="Calibri"/>
          <w:color w:val="1A2233"/>
          <w:sz w:val="21"/>
          <w:szCs w:val="21"/>
        </w:rPr>
        <w:t xml:space="preserve">Escrow and a proprietary wallet, and native mobile apps — the specification is explicit that these should be bought/integrated (a licensed provider, a managed app-wrapping approach) rather than built in-house, and remain unbuilt for that reason.</w:t>
      </w:r>
    </w:p>
    <w:p>
      <w:pPr>
        <w:spacing w:after="100" w:before="220"/>
      </w:pPr>
      <w:r>
        <w:rPr>
          <w:rFonts w:ascii="Calibri" w:cs="Calibri" w:eastAsia="Calibri" w:hAnsi="Calibri"/>
          <w:b/>
          <w:bCs/>
          <w:color w:val="0B4F42"/>
          <w:sz w:val="22"/>
          <w:szCs w:val="22"/>
        </w:rPr>
        <w:t xml:space="preserve">Flagged, scoped, and intentionally not started without a business decision first</w:t>
      </w:r>
    </w:p>
    <w:p>
      <w:pPr>
        <w:pStyle w:val="ListParagraph"/>
        <w:numPr>
          <w:ilvl w:val="0"/>
          <w:numId w:val="1"/>
        </w:numPr>
        <w:spacing w:after="100" w:line="290"/>
      </w:pPr>
      <w:r>
        <w:rPr>
          <w:rFonts w:ascii="Calibri" w:cs="Calibri" w:eastAsia="Calibri" w:hAnsi="Calibri"/>
          <w:color w:val="1A2233"/>
          <w:sz w:val="21"/>
          <w:szCs w:val="21"/>
        </w:rPr>
        <w:t xml:space="preserve">A fully configurable (database-driven) service catalogue — evaluated and deliberately deferred; every new vertical so far has shipped cheaply as a new service-type value with its own checklist, which is proven, tested, and cheaper than a config-driven rebuild unless ops-configurable no-deploy catalogue changes become an actual business requirement.</w:t>
      </w:r>
    </w:p>
    <w:p>
      <w:pPr>
        <w:pStyle w:val="ListParagraph"/>
        <w:numPr>
          <w:ilvl w:val="0"/>
          <w:numId w:val="1"/>
        </w:numPr>
        <w:spacing w:after="100" w:line="290"/>
      </w:pPr>
      <w:r>
        <w:rPr>
          <w:rFonts w:ascii="Calibri" w:cs="Calibri" w:eastAsia="Calibri" w:hAnsi="Calibri"/>
          <w:color w:val="1A2233"/>
          <w:sz w:val="21"/>
          <w:szCs w:val="21"/>
        </w:rPr>
        <w:t xml:space="preserve">Multi-currency display, additional service verticals (legal/document services, healthcare coordination, relocation/return support), a B2B2C trust-badge partner API, an insurance-referral bridge, and a deeper WhatsApp-first experience — all scoped in detail with sizing and sequencing, none started, pending explicit prioritization.</w:t>
      </w:r>
    </w:p>
    <w:p>
      <w:pPr>
        <w:spacing w:after="100" w:before="220"/>
      </w:pPr>
      <w:r>
        <w:rPr>
          <w:rFonts w:ascii="Calibri" w:cs="Calibri" w:eastAsia="Calibri" w:hAnsi="Calibri"/>
          <w:b/>
          <w:bCs/>
          <w:color w:val="0B4F42"/>
          <w:sz w:val="22"/>
          <w:szCs w:val="22"/>
        </w:rPr>
        <w:t xml:space="preserve">Explicitly flagged as needing something outside this codebase</w:t>
      </w:r>
    </w:p>
    <w:p>
      <w:pPr>
        <w:pStyle w:val="ListParagraph"/>
        <w:numPr>
          <w:ilvl w:val="0"/>
          <w:numId w:val="1"/>
        </w:numPr>
        <w:spacing w:after="100" w:line="290"/>
      </w:pPr>
      <w:r>
        <w:rPr>
          <w:rFonts w:ascii="Calibri" w:cs="Calibri" w:eastAsia="Calibri" w:hAnsi="Calibri"/>
          <w:color w:val="1A2233"/>
          <w:sz w:val="21"/>
          <w:szCs w:val="21"/>
        </w:rPr>
        <w:t xml:space="preserve">Live vendor accounts and their production credentials, a completed inbound-WhatsApp signature scheme pending the provider's public confirmation of it, a real penetration test, backup/restore testing, secrets-management tooling, and the written operational runbooks themselves — every one flagged clearly rather than silently assumed complete.</w:t>
      </w:r>
    </w:p>
    <w:p>
      <w:pPr>
        <w:pStyle w:val="Heading1"/>
        <w:pBdr>
          <w:bottom w:val="single" w:color="0F6E5C" w:sz="8" w:space="6"/>
        </w:pBdr>
        <w:spacing w:after="200" w:before="480"/>
      </w:pPr>
      <w:r>
        <w:rPr>
          <w:rFonts w:ascii="Georgia" w:cs="Georgia" w:eastAsia="Georgia" w:hAnsi="Georgia"/>
          <w:b/>
          <w:bCs/>
          <w:color w:val="0B4F42"/>
          <w:sz w:val="30"/>
          <w:szCs w:val="30"/>
        </w:rPr>
        <w:t xml:space="preserve">15. Closing Note</w:t>
      </w:r>
    </w:p>
    <w:p>
      <w:pPr>
        <w:spacing w:after="160" w:line="300"/>
      </w:pPr>
      <w:r>
        <w:rPr>
          <w:rFonts w:ascii="Calibri" w:cs="Calibri" w:eastAsia="Calibri" w:hAnsi="Calibri"/>
          <w:color w:val="1A2233"/>
          <w:sz w:val="21"/>
          <w:szCs w:val="21"/>
        </w:rPr>
        <w:t xml:space="preserve">Everything described in this document is real, running code, verified by an automated test that exercises it against a real database — not a plan, a mock, or a partially-wired stub. Where something has been deliberately left unverified (a live third-party account this environment has no credentials for, an operational procedure that has to be written by a human with production access), that limitation is stated plainly in the relevant section rather than glossed over. The result is a platform where the hard, unglamorous 80% — a real state machine, real evidence custody, a real audit trail, real payment verification, real access control — is done, tested, and ready to build the next layer on top of.</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2026-08-10T22:40:33.345Z</dcterms:created>
  <dcterms:modified xsi:type="dcterms:W3CDTF">2026-08-10T22:40:33.345Z</dcterms:modified>
</cp:coreProperties>
</file>

<file path=docProps/custom.xml><?xml version="1.0" encoding="utf-8"?>
<Properties xmlns="http://schemas.openxmlformats.org/officeDocument/2006/custom-properties" xmlns:vt="http://schemas.openxmlformats.org/officeDocument/2006/docPropsVTypes"/>
</file>