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DUE DILIGENCE DATA ROOM</w:t>
        <w:br/>
        <w:t>INDEX &amp; DOCUMENT CHECKLIST</w:t>
      </w:r>
    </w:p>
    <w:p>
      <w:pPr>
        <w:jc w:val="center"/>
      </w:pPr>
      <w:r>
        <w:rPr>
          <w:b/>
        </w:rPr>
        <w:t>Version 1.0 | Investor, Board &amp; Financing Readiness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Purpose: provide one controlled index for documents requested during investor, board, partner, financing, legal, financial and operational diligence.</w:t>
      </w:r>
    </w:p>
    <w:p>
      <w:pPr>
        <w:pStyle w:val="Heading1"/>
      </w:pPr>
      <w:r>
        <w:t>1. Data Room Principle</w:t>
      </w:r>
    </w:p>
    <w:p>
      <w:r>
        <w:rPr>
          <w:b/>
        </w:rPr>
        <w:t>The data room should make it easy for a qualified reviewer to understand what ASOJU is, how it operates, what evidence supports the business, what risks exist, and how management controls the company.</w:t>
      </w:r>
    </w:p>
    <w:p>
      <w:pPr>
        <w:pStyle w:val="ListBullet"/>
      </w:pPr>
      <w:r>
        <w:t>Use a clear folder structure.</w:t>
      </w:r>
    </w:p>
    <w:p>
      <w:pPr>
        <w:pStyle w:val="ListBullet"/>
      </w:pPr>
      <w:r>
        <w:t>Maintain one authoritative version of each document.</w:t>
      </w:r>
    </w:p>
    <w:p>
      <w:pPr>
        <w:pStyle w:val="ListBullet"/>
      </w:pPr>
      <w:r>
        <w:t>Record document owner and last-updated date.</w:t>
      </w:r>
    </w:p>
    <w:p>
      <w:pPr>
        <w:pStyle w:val="ListBullet"/>
      </w:pPr>
      <w:r>
        <w:t>Separate internal working files from externally shareable diligence files.</w:t>
      </w:r>
    </w:p>
    <w:p>
      <w:pPr>
        <w:pStyle w:val="ListBullet"/>
      </w:pPr>
      <w:r>
        <w:t>Do not upload confidential or personal information unnecessarily.</w:t>
      </w:r>
    </w:p>
    <w:p>
      <w:pPr>
        <w:pStyle w:val="ListBullet"/>
      </w:pPr>
      <w:r>
        <w:t>Grant access based on diligence stage and need-to-know.</w:t>
      </w:r>
    </w:p>
    <w:p>
      <w:pPr>
        <w:pStyle w:val="ListBullet"/>
      </w:pPr>
      <w:r>
        <w:t>Do not alter source records merely to make the company appear stronger.</w:t>
      </w:r>
    </w:p>
    <w:p>
      <w:pPr>
        <w:pStyle w:val="ListBullet"/>
      </w:pPr>
      <w:r>
        <w:t>Disclose material gaps rather than improvising unsupported answers.</w:t>
      </w:r>
    </w:p>
    <w:p>
      <w:pPr>
        <w:pStyle w:val="Heading1"/>
      </w:pPr>
      <w:r>
        <w:t>2. Master Data Room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Primary Owner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External Sharing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00 Read Me</w:t>
            </w:r>
          </w:p>
        </w:tc>
        <w:tc>
          <w:tcPr>
            <w:tcW w:type="dxa" w:w="2556"/>
            <w:vAlign w:val="center"/>
          </w:tcPr>
          <w:p>
            <w:r>
              <w:t>Index, company overview, access instructions and version control.</w:t>
            </w:r>
          </w:p>
        </w:tc>
        <w:tc>
          <w:tcPr>
            <w:tcW w:type="dxa" w:w="2556"/>
            <w:vAlign w:val="center"/>
          </w:tcPr>
          <w:p>
            <w:r>
              <w:t>Leadership</w:t>
            </w:r>
          </w:p>
        </w:tc>
        <w:tc>
          <w:tcPr>
            <w:tcW w:type="dxa" w:w="2556"/>
            <w:vAlign w:val="center"/>
          </w:tcPr>
          <w:p>
            <w:r>
              <w:t>Yes, 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01 Company &amp; Governance</w:t>
            </w:r>
          </w:p>
        </w:tc>
        <w:tc>
          <w:tcPr>
            <w:tcW w:type="dxa" w:w="2556"/>
            <w:vAlign w:val="center"/>
          </w:tcPr>
          <w:p>
            <w:r>
              <w:t>Corporate, ownership and governance records.</w:t>
            </w:r>
          </w:p>
        </w:tc>
        <w:tc>
          <w:tcPr>
            <w:tcW w:type="dxa" w:w="2556"/>
            <w:vAlign w:val="center"/>
          </w:tcPr>
          <w:p>
            <w:r>
              <w:t>Leadership/Legal</w:t>
            </w:r>
          </w:p>
        </w:tc>
        <w:tc>
          <w:tcPr>
            <w:tcW w:type="dxa" w:w="2556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02 Finance</w:t>
            </w:r>
          </w:p>
        </w:tc>
        <w:tc>
          <w:tcPr>
            <w:tcW w:type="dxa" w:w="2556"/>
            <w:vAlign w:val="center"/>
          </w:tcPr>
          <w:p>
            <w:r>
              <w:t>Financial statements, management accounts, cash and forecasts.</w:t>
            </w:r>
          </w:p>
        </w:tc>
        <w:tc>
          <w:tcPr>
            <w:tcW w:type="dxa" w:w="2556"/>
            <w:vAlign w:val="center"/>
          </w:tcPr>
          <w:p>
            <w:r>
              <w:t>Finance</w:t>
            </w:r>
          </w:p>
        </w:tc>
        <w:tc>
          <w:tcPr>
            <w:tcW w:type="dxa" w:w="2556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03 Fundraising &amp; Cap Table</w:t>
            </w:r>
          </w:p>
        </w:tc>
        <w:tc>
          <w:tcPr>
            <w:tcW w:type="dxa" w:w="2556"/>
            <w:vAlign w:val="center"/>
          </w:tcPr>
          <w:p>
            <w:r>
              <w:t>Financing history, cap table and current raise materials.</w:t>
            </w:r>
          </w:p>
        </w:tc>
        <w:tc>
          <w:tcPr>
            <w:tcW w:type="dxa" w:w="2556"/>
            <w:vAlign w:val="center"/>
          </w:tcPr>
          <w:p>
            <w:r>
              <w:t>Leadership/Finance</w:t>
            </w:r>
          </w:p>
        </w:tc>
        <w:tc>
          <w:tcPr>
            <w:tcW w:type="dxa" w:w="2556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04 Traction &amp; Customers</w:t>
            </w:r>
          </w:p>
        </w:tc>
        <w:tc>
          <w:tcPr>
            <w:tcW w:type="dxa" w:w="2556"/>
            <w:vAlign w:val="center"/>
          </w:tcPr>
          <w:p>
            <w:r>
              <w:t>Customer, revenue, cohort and retention evidence.</w:t>
            </w:r>
          </w:p>
        </w:tc>
        <w:tc>
          <w:tcPr>
            <w:tcW w:type="dxa" w:w="2556"/>
            <w:vAlign w:val="center"/>
          </w:tcPr>
          <w:p>
            <w:r>
              <w:t>GTM/Finance</w:t>
            </w:r>
          </w:p>
        </w:tc>
        <w:tc>
          <w:tcPr>
            <w:tcW w:type="dxa" w:w="2556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05 GTM &amp; Marketing</w:t>
            </w:r>
          </w:p>
        </w:tc>
        <w:tc>
          <w:tcPr>
            <w:tcW w:type="dxa" w:w="2556"/>
            <w:vAlign w:val="center"/>
          </w:tcPr>
          <w:p>
            <w:r>
              <w:t>Brand, acquisition, sales and channel evidence.</w:t>
            </w:r>
          </w:p>
        </w:tc>
        <w:tc>
          <w:tcPr>
            <w:tcW w:type="dxa" w:w="2556"/>
            <w:vAlign w:val="center"/>
          </w:tcPr>
          <w:p>
            <w:r>
              <w:t>GTM</w:t>
            </w:r>
          </w:p>
        </w:tc>
        <w:tc>
          <w:tcPr>
            <w:tcW w:type="dxa" w:w="2556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06 Customer Experience</w:t>
            </w:r>
          </w:p>
        </w:tc>
        <w:tc>
          <w:tcPr>
            <w:tcW w:type="dxa" w:w="2556"/>
            <w:vAlign w:val="center"/>
          </w:tcPr>
          <w:p>
            <w:r>
              <w:t>CX processes, feedback, retention and referral evidence.</w:t>
            </w:r>
          </w:p>
        </w:tc>
        <w:tc>
          <w:tcPr>
            <w:tcW w:type="dxa" w:w="2556"/>
            <w:vAlign w:val="center"/>
          </w:tcPr>
          <w:p>
            <w:r>
              <w:t>CX</w:t>
            </w:r>
          </w:p>
        </w:tc>
        <w:tc>
          <w:tcPr>
            <w:tcW w:type="dxa" w:w="2556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07 Operations</w:t>
            </w:r>
          </w:p>
        </w:tc>
        <w:tc>
          <w:tcPr>
            <w:tcW w:type="dxa" w:w="2556"/>
            <w:vAlign w:val="center"/>
          </w:tcPr>
          <w:p>
            <w:r>
              <w:t>SOPs, service model, quality, SLA and capacity evidence.</w:t>
            </w:r>
          </w:p>
        </w:tc>
        <w:tc>
          <w:tcPr>
            <w:tcW w:type="dxa" w:w="2556"/>
            <w:vAlign w:val="center"/>
          </w:tcPr>
          <w:p>
            <w:r>
              <w:t>Operations</w:t>
            </w:r>
          </w:p>
        </w:tc>
        <w:tc>
          <w:tcPr>
            <w:tcW w:type="dxa" w:w="2556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08 Technology &amp; Data</w:t>
            </w:r>
          </w:p>
        </w:tc>
        <w:tc>
          <w:tcPr>
            <w:tcW w:type="dxa" w:w="2556"/>
            <w:vAlign w:val="center"/>
          </w:tcPr>
          <w:p>
            <w:r>
              <w:t>Systems, workflow, technology and data documentation.</w:t>
            </w:r>
          </w:p>
        </w:tc>
        <w:tc>
          <w:tcPr>
            <w:tcW w:type="dxa" w:w="2556"/>
            <w:vAlign w:val="center"/>
          </w:tcPr>
          <w:p>
            <w:r>
              <w:t>Technology/Operations</w:t>
            </w:r>
          </w:p>
        </w:tc>
        <w:tc>
          <w:tcPr>
            <w:tcW w:type="dxa" w:w="2556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2556"/>
            <w:vAlign w:val="center"/>
          </w:tcPr>
          <w:p>
            <w:r>
              <w:t>09 People</w:t>
            </w:r>
          </w:p>
        </w:tc>
        <w:tc>
          <w:tcPr>
            <w:tcW w:type="dxa" w:w="2556"/>
            <w:vAlign w:val="center"/>
          </w:tcPr>
          <w:p>
            <w:r>
              <w:t>Organization, key roles and relevant employment/contractor records.</w:t>
            </w:r>
          </w:p>
        </w:tc>
        <w:tc>
          <w:tcPr>
            <w:tcW w:type="dxa" w:w="2556"/>
            <w:vAlign w:val="center"/>
          </w:tcPr>
          <w:p>
            <w:r>
              <w:t>Leadership</w:t>
            </w:r>
          </w:p>
        </w:tc>
        <w:tc>
          <w:tcPr>
            <w:tcW w:type="dxa" w:w="2556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10 Legal &amp; Compliance</w:t>
            </w:r>
          </w:p>
        </w:tc>
        <w:tc>
          <w:tcPr>
            <w:tcW w:type="dxa" w:w="2556"/>
            <w:vAlign w:val="center"/>
          </w:tcPr>
          <w:p>
            <w:r>
              <w:t>Material contracts, IP, privacy, regulatory and legal matters.</w:t>
            </w:r>
          </w:p>
        </w:tc>
        <w:tc>
          <w:tcPr>
            <w:tcW w:type="dxa" w:w="2556"/>
            <w:vAlign w:val="center"/>
          </w:tcPr>
          <w:p>
            <w:r>
              <w:t>Legal/Leadership</w:t>
            </w:r>
          </w:p>
        </w:tc>
        <w:tc>
          <w:tcPr>
            <w:tcW w:type="dxa" w:w="2556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11 Risk &amp; Insurance</w:t>
            </w:r>
          </w:p>
        </w:tc>
        <w:tc>
          <w:tcPr>
            <w:tcW w:type="dxa" w:w="2556"/>
            <w:vAlign w:val="center"/>
          </w:tcPr>
          <w:p>
            <w:r>
              <w:t>Risk register, controls, claims and insurance records where applicable.</w:t>
            </w:r>
          </w:p>
        </w:tc>
        <w:tc>
          <w:tcPr>
            <w:tcW w:type="dxa" w:w="2556"/>
            <w:vAlign w:val="center"/>
          </w:tcPr>
          <w:p>
            <w:r>
              <w:t>Leadership</w:t>
            </w:r>
          </w:p>
        </w:tc>
        <w:tc>
          <w:tcPr>
            <w:tcW w:type="dxa" w:w="2556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12 Board &amp; Investor Reporting</w:t>
            </w:r>
          </w:p>
        </w:tc>
        <w:tc>
          <w:tcPr>
            <w:tcW w:type="dxa" w:w="2556"/>
            <w:vAlign w:val="center"/>
          </w:tcPr>
          <w:p>
            <w:r>
              <w:t>Board packs, investor updates and decision records.</w:t>
            </w:r>
          </w:p>
        </w:tc>
        <w:tc>
          <w:tcPr>
            <w:tcW w:type="dxa" w:w="2556"/>
            <w:vAlign w:val="center"/>
          </w:tcPr>
          <w:p>
            <w:r>
              <w:t>Leadership</w:t>
            </w:r>
          </w:p>
        </w:tc>
        <w:tc>
          <w:tcPr>
            <w:tcW w:type="dxa" w:w="2556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13 Appendix</w:t>
            </w:r>
          </w:p>
        </w:tc>
        <w:tc>
          <w:tcPr>
            <w:tcW w:type="dxa" w:w="2556"/>
            <w:vAlign w:val="center"/>
          </w:tcPr>
          <w:p>
            <w:r>
              <w:t>Supporting evidence and historical/reference materials.</w:t>
            </w:r>
          </w:p>
        </w:tc>
        <w:tc>
          <w:tcPr>
            <w:tcW w:type="dxa" w:w="2556"/>
            <w:vAlign w:val="center"/>
          </w:tcPr>
          <w:p>
            <w:r>
              <w:t>Relevant Owner</w:t>
            </w:r>
          </w:p>
        </w:tc>
        <w:tc>
          <w:tcPr>
            <w:tcW w:type="dxa" w:w="2556"/>
            <w:vAlign w:val="center"/>
          </w:tcPr>
          <w:p>
            <w:r>
              <w:t>As needed</w:t>
            </w:r>
          </w:p>
        </w:tc>
      </w:tr>
    </w:tbl>
    <w:p>
      <w:pPr>
        <w:pStyle w:val="Heading1"/>
      </w:pPr>
      <w:r>
        <w:t>3. 00 Read Me — Required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Last Updated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461"/>
            <w:vAlign w:val="center"/>
          </w:tcPr>
          <w:p>
            <w:r>
              <w:t>Data Room Index &amp; Checklist</w:t>
            </w:r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Company Overview / Executive Summary</w:t>
            </w:r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Master Operating Plan</w:t>
            </w:r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Document Version Register</w:t>
            </w:r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Data Room Access &amp; Confidentiality Notice</w:t>
            </w:r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</w:tbl>
    <w:p>
      <w:pPr>
        <w:pStyle w:val="Heading1"/>
      </w:pPr>
      <w:r>
        <w:t>4. 01 Company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Certificate/incorporation records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Leadership/Legal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Constitution/articles/bylaws, as applicable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Current ownership/cap table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Finance/Leadership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Shareholder records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Board/director records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Leadership/Legal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Board resolutions/material approvals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Leadership/Legal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Organizational chart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Delegations/decision rights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Material governance policies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5. 02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Historical financial statements / management accounts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>
              <w:t>Use validated records.</w:t>
            </w:r>
          </w:p>
        </w:tc>
      </w:tr>
      <w:tr>
        <w:tc>
          <w:tcPr>
            <w:tcW w:type="dxa" w:w="1704"/>
            <w:vAlign w:val="center"/>
          </w:tcPr>
          <w:p>
            <w:r>
              <w:t>Current profit &amp; loss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Balance sheet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Cash flow / cash position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Bank/cash evidence where required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>
              <w:t>Share selectively.</w:t>
            </w:r>
          </w:p>
        </w:tc>
      </w:tr>
      <w:tr>
        <w:tc>
          <w:tcPr>
            <w:tcW w:type="dxa" w:w="1704"/>
            <w:vAlign w:val="center"/>
          </w:tcPr>
          <w:p>
            <w:r>
              <w:t>12-month financial forecast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Budget vs actual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Revenue reconciliation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Cost-to-serve analysis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Finance/Operations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Gross margin analysis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CAC analysis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GTM/Finance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Contribution economics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Cash runway analysis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Tax records/filings, as applicable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Finance/Tax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6. 03 Fundraising &amp; Cap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Current fundraising narrative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Investor pitch content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Leadership/Strategy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Fundraising financial model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Use-of-funds plan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Finance/Leadership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Current cap table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Finance/Legal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Historical financing records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Finance/Legal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Outstanding securities/rights, if any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Investor pipeline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Investor update history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7. 04 Traction &amp;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Customer count reconciliation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GTM/Finance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Paid transaction report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Revenue by customer/use case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Finance/GTM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Customer cohort analysis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GTM/Finance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Repeat-rate analysis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CX/GTM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Referral-rate analysis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CX/GTM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Customer satisfaction/trust evidence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Representative customer cases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CX/GTM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>
              <w:t>Anonymize where necessary.</w:t>
            </w:r>
          </w:p>
        </w:tc>
      </w:tr>
      <w:tr>
        <w:tc>
          <w:tcPr>
            <w:tcW w:type="dxa" w:w="1704"/>
            <w:vAlign w:val="center"/>
          </w:tcPr>
          <w:p>
            <w:r>
              <w:t>Customer interview summaries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GTM/CX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Churn/complaint analysis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8. 05 GTM &amp; Marketing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Brand strategy/positioning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ICP definition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GTM plan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Sales process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Sales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Pipeline report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Sales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Channel performance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CAC by channel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GTM/Finance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Partnership strategy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Partnerships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Referral strategy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CX/GTM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Marketing KPI report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Marketing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9. 06 Customer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Customer journey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Customer promise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CX/Leadership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Service communication standards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Complaint/recovery process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CX/Operations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Customer feedback report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Retention/lifecycle process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Referral/advocacy process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CX/GTM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Customer privacy handling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Leadership/Legal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10. 07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Operations model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Service catalog/use cases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Serviceability gate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SOP library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SLA framework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Quality-control framework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Representative standards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Capacity model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Exception/recovery process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Operations/CX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Operational KPI report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Incident/exception log summary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11. 08 Technology &amp;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Technology/system overview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Technology/Operations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Workflow architecture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Technology/Operations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Data flow overview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Technology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Access-control policy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Technology/Leadership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Data retention policy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Technology/Legal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Backup/recovery approach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Technology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Key vendor/system list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Technology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Material technology contracts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Legal/Technology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12. 09 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Organization chart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Leadership bios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Key role descriptions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Hiring plan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Headcount plan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Finance/Leadership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Contractor/representative model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Operations/Legal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Key-person dependency assessment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Compensation framework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Leadership/Finance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13. 10 Legal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Material customer terms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Legal/Leadership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Material supplier/representative agreements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Legal/Operations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Partnership agreements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Partnerships/Legal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IP/trademark/brand ownership records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Legal/Leadership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Privacy policy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Terms of service, where applicable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Regulatory/licensing assessment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Material disputes/claims disclosure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Insurance policies, where applicable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14. 11 Risk &amp; Insurance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Enterprise risk register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Customer trust risks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CX/Leadership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Operational risk register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Financial risks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Data/privacy risks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Technology/Legal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Business continuity plan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Insurance summary</w:t>
            </w:r>
          </w:p>
        </w:tc>
        <w:tc>
          <w:tcPr>
            <w:tcW w:type="dxa" w:w="1704"/>
            <w:vAlign w:val="center"/>
          </w:tcPr>
          <w:p>
            <w:r>
              <w:t>P2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15. 12 Board &amp; Investor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External?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4"/>
            <w:vAlign w:val="center"/>
          </w:tcPr>
          <w:p>
            <w:r>
              <w:t>Board dashboard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Monthly business reviews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Investor updates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Strategic decision log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Master action register</w:t>
            </w:r>
          </w:p>
        </w:tc>
        <w:tc>
          <w:tcPr>
            <w:tcW w:type="dxa" w:w="1704"/>
            <w:vAlign w:val="center"/>
          </w:tcPr>
          <w:p>
            <w:r>
              <w:t>P1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Leadership</w:t>
            </w:r>
          </w:p>
        </w:tc>
        <w:tc>
          <w:tcPr>
            <w:tcW w:type="dxa" w:w="1704"/>
            <w:vAlign w:val="center"/>
          </w:tcPr>
          <w:p>
            <w:r>
              <w:t>Restricted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12-month OKR/roadmap</w:t>
            </w:r>
          </w:p>
        </w:tc>
        <w:tc>
          <w:tcPr>
            <w:tcW w:type="dxa" w:w="1704"/>
            <w:vAlign w:val="center"/>
          </w:tcPr>
          <w:p>
            <w:r>
              <w:t>P0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>
              <w:t>Strategy</w:t>
            </w:r>
          </w:p>
        </w:tc>
        <w:tc>
          <w:tcPr>
            <w:tcW w:type="dxa" w:w="1704"/>
            <w:vAlign w:val="center"/>
          </w:tcPr>
          <w:p>
            <w:r>
              <w:t>Controlled</w:t>
            </w:r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16. 13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Historical operating reports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Archived forecasts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Supporting research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Customer proof/evidence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Historical board materials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Other diligence exhibits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</w:tbl>
    <w:p>
      <w:pPr>
        <w:pStyle w:val="Heading1"/>
      </w:pPr>
      <w:r>
        <w:t>17. Document Version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External Version?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</w:tbl>
    <w:p>
      <w:pPr>
        <w:pStyle w:val="Heading1"/>
      </w:pPr>
      <w:r>
        <w:t>18. Diligence Request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Request ID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Investor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Document/Response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136"/>
            <w:vAlign w:val="center"/>
          </w:tcPr>
          <w:p>
            <w:r>
              <w:t>DR-001</w:t>
            </w:r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</w:tr>
      <w:tr>
        <w:tc>
          <w:tcPr>
            <w:tcW w:type="dxa" w:w="1136"/>
            <w:vAlign w:val="center"/>
          </w:tcPr>
          <w:p>
            <w:r>
              <w:t>DR-002</w:t>
            </w:r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</w:tr>
      <w:tr>
        <w:tc>
          <w:tcPr>
            <w:tcW w:type="dxa" w:w="1136"/>
            <w:vAlign w:val="center"/>
          </w:tcPr>
          <w:p>
            <w:r>
              <w:t>DR-003</w:t>
            </w:r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</w:tr>
      <w:tr>
        <w:tc>
          <w:tcPr>
            <w:tcW w:type="dxa" w:w="1136"/>
            <w:vAlign w:val="center"/>
          </w:tcPr>
          <w:p>
            <w:r>
              <w:t>DR-004</w:t>
            </w:r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</w:tr>
      <w:tr>
        <w:tc>
          <w:tcPr>
            <w:tcW w:type="dxa" w:w="1136"/>
            <w:vAlign w:val="center"/>
          </w:tcPr>
          <w:p>
            <w:r>
              <w:t>DR-005</w:t>
            </w:r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  <w:tc>
          <w:tcPr>
            <w:tcW w:type="dxa" w:w="1136"/>
            <w:vAlign w:val="center"/>
          </w:tcPr>
          <w:p>
            <w:r/>
          </w:p>
        </w:tc>
      </w:tr>
    </w:tbl>
    <w:p>
      <w:pPr>
        <w:pStyle w:val="Heading1"/>
      </w:pPr>
      <w:r>
        <w:t>19. Access Control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Leadership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Finance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GTM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Operations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CX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Legal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Investor</w:t>
            </w:r>
          </w:p>
        </w:tc>
      </w:tr>
      <w:tr>
        <w:tc>
          <w:tcPr>
            <w:tcW w:type="dxa" w:w="1278"/>
            <w:vAlign w:val="center"/>
          </w:tcPr>
          <w:p>
            <w:r>
              <w:t>00 Read Me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01 Company &amp; Governance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02 Finance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03 Fundraising &amp; Cap Table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04 Traction &amp; Customers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05 GTM &amp; Marketing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06 Customer Experience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07 Operations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08 Technology &amp; Data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1278"/>
            <w:vAlign w:val="center"/>
          </w:tcPr>
          <w:p>
            <w:r>
              <w:t>09 People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1278"/>
            <w:vAlign w:val="center"/>
          </w:tcPr>
          <w:p>
            <w:r>
              <w:t>10 Legal &amp; Compliance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None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1278"/>
            <w:vAlign w:val="center"/>
          </w:tcPr>
          <w:p>
            <w:r>
              <w:t>11 Risk &amp; Insurance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1278"/>
            <w:vAlign w:val="center"/>
          </w:tcPr>
          <w:p>
            <w:r>
              <w:t>12 Board &amp; Investor Reporting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Restricted</w:t>
            </w:r>
          </w:p>
        </w:tc>
      </w:tr>
      <w:tr>
        <w:tc>
          <w:tcPr>
            <w:tcW w:type="dxa" w:w="1278"/>
            <w:vAlign w:val="center"/>
          </w:tcPr>
          <w:p>
            <w:r>
              <w:t>13 Appendix</w:t>
            </w:r>
          </w:p>
        </w:tc>
        <w:tc>
          <w:tcPr>
            <w:tcW w:type="dxa" w:w="1278"/>
            <w:vAlign w:val="center"/>
          </w:tcPr>
          <w:p>
            <w:r>
              <w:t>Full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Read</w:t>
            </w:r>
          </w:p>
        </w:tc>
        <w:tc>
          <w:tcPr>
            <w:tcW w:type="dxa" w:w="1278"/>
            <w:vAlign w:val="center"/>
          </w:tcPr>
          <w:p>
            <w:r>
              <w:t>As needed</w:t>
            </w:r>
          </w:p>
        </w:tc>
      </w:tr>
    </w:tbl>
    <w:p>
      <w:pPr>
        <w:pStyle w:val="Heading1"/>
      </w:pPr>
      <w:r>
        <w:t>20. External Sharing Rules</w:t>
      </w:r>
    </w:p>
    <w:p>
      <w:pPr>
        <w:pStyle w:val="ListBullet"/>
      </w:pPr>
      <w:r>
        <w:t>Share only the minimum necessary information.</w:t>
      </w:r>
    </w:p>
    <w:p>
      <w:pPr>
        <w:pStyle w:val="ListBullet"/>
      </w:pPr>
      <w:r>
        <w:t>Use controlled access for sensitive folders.</w:t>
      </w:r>
    </w:p>
    <w:p>
      <w:pPr>
        <w:pStyle w:val="ListBullet"/>
      </w:pPr>
      <w:r>
        <w:t>Redact personal, banking, security, customer-identifying or other unnecessary sensitive information.</w:t>
      </w:r>
    </w:p>
    <w:p>
      <w:pPr>
        <w:pStyle w:val="ListBullet"/>
      </w:pPr>
      <w:r>
        <w:t>Do not share internal passwords, secrets, private keys or unrestricted credentials.</w:t>
      </w:r>
    </w:p>
    <w:p>
      <w:pPr>
        <w:pStyle w:val="ListBullet"/>
      </w:pPr>
      <w:r>
        <w:t>Keep an access log where practical.</w:t>
      </w:r>
    </w:p>
    <w:p>
      <w:pPr>
        <w:pStyle w:val="ListBullet"/>
      </w:pPr>
      <w:r>
        <w:t>Remove access when diligence ends.</w:t>
      </w:r>
    </w:p>
    <w:p>
      <w:pPr>
        <w:pStyle w:val="ListBullet"/>
      </w:pPr>
      <w:r>
        <w:t>Preserve the original source document internally.</w:t>
      </w:r>
    </w:p>
    <w:p>
      <w:pPr>
        <w:pStyle w:val="ListBullet"/>
      </w:pPr>
      <w:r>
        <w:t>Use a clearly identified external version where redaction or simplification is necessary.</w:t>
      </w:r>
    </w:p>
    <w:p>
      <w:pPr>
        <w:pStyle w:val="Heading1"/>
      </w:pPr>
      <w:r>
        <w:t>21. Diligence Quality Control</w:t>
      </w:r>
    </w:p>
    <w:p>
      <w:pPr>
        <w:pStyle w:val="ListNumber"/>
      </w:pPr>
      <w:r>
        <w:t>Confirm the document is current.</w:t>
      </w:r>
    </w:p>
    <w:p>
      <w:pPr>
        <w:pStyle w:val="ListNumber"/>
      </w:pPr>
      <w:r>
        <w:t>Confirm the owner.</w:t>
      </w:r>
    </w:p>
    <w:p>
      <w:pPr>
        <w:pStyle w:val="ListNumber"/>
      </w:pPr>
      <w:r>
        <w:t>Confirm numbers reconcile to the financial model.</w:t>
      </w:r>
    </w:p>
    <w:p>
      <w:pPr>
        <w:pStyle w:val="ListNumber"/>
      </w:pPr>
      <w:r>
        <w:t>Confirm customer counts reconcile to transaction records.</w:t>
      </w:r>
    </w:p>
    <w:p>
      <w:pPr>
        <w:pStyle w:val="ListNumber"/>
      </w:pPr>
      <w:r>
        <w:t>Confirm material contracts are complete.</w:t>
      </w:r>
    </w:p>
    <w:p>
      <w:pPr>
        <w:pStyle w:val="ListNumber"/>
      </w:pPr>
      <w:r>
        <w:t>Confirm material risks are disclosed.</w:t>
      </w:r>
    </w:p>
    <w:p>
      <w:pPr>
        <w:pStyle w:val="ListNumber"/>
      </w:pPr>
      <w:r>
        <w:t>Confirm no unsupported investor claims are present.</w:t>
      </w:r>
    </w:p>
    <w:p>
      <w:pPr>
        <w:pStyle w:val="ListNumber"/>
      </w:pPr>
      <w:r>
        <w:t>Confirm confidential information is appropriately controlled.</w:t>
      </w:r>
    </w:p>
    <w:p>
      <w:pPr>
        <w:pStyle w:val="ListNumber"/>
      </w:pPr>
      <w:r>
        <w:t>Record the final shared version.</w:t>
      </w:r>
    </w:p>
    <w:p>
      <w:pPr>
        <w:pStyle w:val="Heading1"/>
      </w:pPr>
      <w:r>
        <w:t>22. Red-Flag Review Before Opening the Data 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Pass?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>
              <w:t>Customer/revenue numbers reconcile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Financial statements reconcile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Cap table current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Material contracts organized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IP/brand ownership documented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Privacy/legal documents available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Operational controls documented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Risk register current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Forecast matches narrative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Use of funds matches fundraising ask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</w:tbl>
    <w:p>
      <w:pPr>
        <w:pStyle w:val="Heading1"/>
      </w:pPr>
      <w:r>
        <w:t>23. Investor Data Room Opening Checklist</w:t>
      </w:r>
    </w:p>
    <w:p>
      <w:pPr>
        <w:pStyle w:val="ListNumber"/>
      </w:pPr>
      <w:r>
        <w:t>Investor qualification completed.</w:t>
      </w:r>
    </w:p>
    <w:p>
      <w:pPr>
        <w:pStyle w:val="ListNumber"/>
      </w:pPr>
      <w:r>
        <w:t>NDA/confidentiality requirements reviewed where applicable.</w:t>
      </w:r>
    </w:p>
    <w:p>
      <w:pPr>
        <w:pStyle w:val="ListNumber"/>
      </w:pPr>
      <w:r>
        <w:t>Investor access level determined.</w:t>
      </w:r>
    </w:p>
    <w:p>
      <w:pPr>
        <w:pStyle w:val="ListNumber"/>
      </w:pPr>
      <w:r>
        <w:t>External document versions reviewed.</w:t>
      </w:r>
    </w:p>
    <w:p>
      <w:pPr>
        <w:pStyle w:val="ListNumber"/>
      </w:pPr>
      <w:r>
        <w:t>Data-room index shared.</w:t>
      </w:r>
    </w:p>
    <w:p>
      <w:pPr>
        <w:pStyle w:val="ListNumber"/>
      </w:pPr>
      <w:r>
        <w:t>Access credentials/process confirmed.</w:t>
      </w:r>
    </w:p>
    <w:p>
      <w:pPr>
        <w:pStyle w:val="ListNumber"/>
      </w:pPr>
      <w:r>
        <w:t>Primary diligence contact assigned.</w:t>
      </w:r>
    </w:p>
    <w:p>
      <w:pPr>
        <w:pStyle w:val="ListNumber"/>
      </w:pPr>
      <w:r>
        <w:t>Question tracker opened.</w:t>
      </w:r>
    </w:p>
    <w:p>
      <w:pPr>
        <w:pStyle w:val="ListNumber"/>
      </w:pPr>
      <w:r>
        <w:t>Response SLAs agreed.</w:t>
      </w:r>
    </w:p>
    <w:p>
      <w:pPr>
        <w:pStyle w:val="ListNumber"/>
      </w:pPr>
      <w:r>
        <w:t>Material updates logged.</w:t>
      </w:r>
    </w:p>
    <w:p>
      <w:pPr>
        <w:pStyle w:val="Heading1"/>
      </w:pPr>
      <w:r>
        <w:t>24. Closing / Post-Diligence Checklist</w:t>
      </w:r>
    </w:p>
    <w:p>
      <w:pPr>
        <w:pStyle w:val="ListBullet"/>
      </w:pPr>
      <w:r>
        <w:t>Outstanding questions resolved.</w:t>
      </w:r>
    </w:p>
    <w:p>
      <w:pPr>
        <w:pStyle w:val="ListBullet"/>
      </w:pPr>
      <w:r>
        <w:t>Final requested documents delivered.</w:t>
      </w:r>
    </w:p>
    <w:p>
      <w:pPr>
        <w:pStyle w:val="ListBullet"/>
      </w:pPr>
      <w:r>
        <w:t>Material changes disclosed.</w:t>
      </w:r>
    </w:p>
    <w:p>
      <w:pPr>
        <w:pStyle w:val="ListBullet"/>
      </w:pPr>
      <w:r>
        <w:t>Investor feedback recorded.</w:t>
      </w:r>
    </w:p>
    <w:p>
      <w:pPr>
        <w:pStyle w:val="ListBullet"/>
      </w:pPr>
      <w:r>
        <w:t>Financing terms reviewed with appropriate advisers.</w:t>
      </w:r>
    </w:p>
    <w:p>
      <w:pPr>
        <w:pStyle w:val="ListBullet"/>
      </w:pPr>
      <w:r>
        <w:t>Board/company approvals completed where required.</w:t>
      </w:r>
    </w:p>
    <w:p>
      <w:pPr>
        <w:pStyle w:val="ListBullet"/>
      </w:pPr>
      <w:r>
        <w:t>Final transaction documents archived.</w:t>
      </w:r>
    </w:p>
    <w:p>
      <w:pPr>
        <w:pStyle w:val="ListBullet"/>
      </w:pPr>
      <w:r>
        <w:t>Data-room access updated.</w:t>
      </w:r>
    </w:p>
    <w:p>
      <w:pPr>
        <w:pStyle w:val="ListBullet"/>
      </w:pPr>
      <w:r>
        <w:t>Investor reporting cadence established.</w:t>
      </w:r>
    </w:p>
    <w:p>
      <w:pPr>
        <w:pStyle w:val="Heading1"/>
      </w:pPr>
      <w:r>
        <w:t>25. Master Diligence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Readiness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Target Date</w:t>
            </w:r>
          </w:p>
        </w:tc>
      </w:tr>
      <w:tr>
        <w:tc>
          <w:tcPr>
            <w:tcW w:type="dxa" w:w="1704"/>
            <w:vAlign w:val="center"/>
          </w:tcPr>
          <w:p>
            <w:r>
              <w:t>Company/governance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Finance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Fundraising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Traction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GTM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CX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Operations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Technology/data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People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Legal/compliance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Risk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  <w:tr>
        <w:tc>
          <w:tcPr>
            <w:tcW w:type="dxa" w:w="1704"/>
            <w:vAlign w:val="center"/>
          </w:tcPr>
          <w:p>
            <w:r>
              <w:t>Board/investor reporting</w:t>
            </w:r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  <w:tc>
          <w:tcPr>
            <w:tcW w:type="dxa" w:w="1704"/>
            <w:vAlign w:val="center"/>
          </w:tcPr>
          <w:p>
            <w:r/>
          </w:p>
        </w:tc>
      </w:tr>
    </w:tbl>
    <w:p>
      <w:pPr>
        <w:pStyle w:val="Heading1"/>
      </w:pPr>
      <w:r>
        <w:t>26. 30-Day Data Room Preparation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Week 1</w:t>
            </w:r>
          </w:p>
        </w:tc>
        <w:tc>
          <w:tcPr>
            <w:tcW w:type="dxa" w:w="3408"/>
            <w:vAlign w:val="center"/>
          </w:tcPr>
          <w:p>
            <w:r>
              <w:t>Inventory</w:t>
            </w:r>
          </w:p>
        </w:tc>
        <w:tc>
          <w:tcPr>
            <w:tcW w:type="dxa" w:w="3408"/>
            <w:vAlign w:val="center"/>
          </w:tcPr>
          <w:p>
            <w:r>
              <w:t>Collect documents, identify gaps and assign owners.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Week 2</w:t>
            </w:r>
          </w:p>
        </w:tc>
        <w:tc>
          <w:tcPr>
            <w:tcW w:type="dxa" w:w="3408"/>
            <w:vAlign w:val="center"/>
          </w:tcPr>
          <w:p>
            <w:r>
              <w:t>Validate</w:t>
            </w:r>
          </w:p>
        </w:tc>
        <w:tc>
          <w:tcPr>
            <w:tcW w:type="dxa" w:w="3408"/>
            <w:vAlign w:val="center"/>
          </w:tcPr>
          <w:p>
            <w:r>
              <w:t>Reconcile finance, traction, customer and operating evidence.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Week 3</w:t>
            </w:r>
          </w:p>
        </w:tc>
        <w:tc>
          <w:tcPr>
            <w:tcW w:type="dxa" w:w="3408"/>
            <w:vAlign w:val="center"/>
          </w:tcPr>
          <w:p>
            <w:r>
              <w:t>Control</w:t>
            </w:r>
          </w:p>
        </w:tc>
        <w:tc>
          <w:tcPr>
            <w:tcW w:type="dxa" w:w="3408"/>
            <w:vAlign w:val="center"/>
          </w:tcPr>
          <w:p>
            <w:r>
              <w:t>Create external versions, permissions, index and request tracker.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Week 4</w:t>
            </w:r>
          </w:p>
        </w:tc>
        <w:tc>
          <w:tcPr>
            <w:tcW w:type="dxa" w:w="3408"/>
            <w:vAlign w:val="center"/>
          </w:tcPr>
          <w:p>
            <w:r>
              <w:t>Dry run</w:t>
            </w:r>
          </w:p>
        </w:tc>
        <w:tc>
          <w:tcPr>
            <w:tcW w:type="dxa" w:w="3408"/>
            <w:vAlign w:val="center"/>
          </w:tcPr>
          <w:p>
            <w:r>
              <w:t>Run mock diligence and close high-priority gaps.</w:t>
            </w:r>
          </w:p>
        </w:tc>
      </w:tr>
    </w:tbl>
    <w:p>
      <w:pPr>
        <w:pStyle w:val="Heading1"/>
      </w:pPr>
      <w:r>
        <w:t>27. 60-Day Data Room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Weekly</w:t>
            </w:r>
          </w:p>
        </w:tc>
        <w:tc>
          <w:tcPr>
            <w:tcW w:type="dxa" w:w="5112"/>
            <w:vAlign w:val="center"/>
          </w:tcPr>
          <w:p>
            <w:r>
              <w:t>Update open diligence requests and newly created material documents.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Monthly</w:t>
            </w:r>
          </w:p>
        </w:tc>
        <w:tc>
          <w:tcPr>
            <w:tcW w:type="dxa" w:w="5112"/>
            <w:vAlign w:val="center"/>
          </w:tcPr>
          <w:p>
            <w:r>
              <w:t>Review financial, KPI and operating documents.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Quarterly</w:t>
            </w:r>
          </w:p>
        </w:tc>
        <w:tc>
          <w:tcPr>
            <w:tcW w:type="dxa" w:w="5112"/>
            <w:vAlign w:val="center"/>
          </w:tcPr>
          <w:p>
            <w:r>
              <w:t>Full data-room health check and version audit.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Event-driven</w:t>
            </w:r>
          </w:p>
        </w:tc>
        <w:tc>
          <w:tcPr>
            <w:tcW w:type="dxa" w:w="5112"/>
            <w:vAlign w:val="center"/>
          </w:tcPr>
          <w:p>
            <w:r>
              <w:t>Update immediately after material financing, governance, legal or strategic changes.</w:t>
            </w:r>
          </w:p>
        </w:tc>
      </w:tr>
    </w:tbl>
    <w:p>
      <w:pPr>
        <w:pStyle w:val="Heading1"/>
      </w:pPr>
      <w:r>
        <w:t>28. Data Room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Primary Owner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Backup 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Company/Governance</w:t>
            </w:r>
          </w:p>
        </w:tc>
        <w:tc>
          <w:tcPr>
            <w:tcW w:type="dxa" w:w="3408"/>
            <w:vAlign w:val="center"/>
          </w:tcPr>
          <w:p>
            <w:r>
              <w:t>Leadership/Legal</w:t>
            </w:r>
          </w:p>
        </w:tc>
        <w:tc>
          <w:tcPr>
            <w:tcW w:type="dxa" w:w="3408"/>
            <w:vAlign w:val="center"/>
          </w:tcPr>
          <w:p>
            <w:r>
              <w:t>Designated administrator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Finance</w:t>
            </w:r>
          </w:p>
        </w:tc>
        <w:tc>
          <w:tcPr>
            <w:tcW w:type="dxa" w:w="3408"/>
            <w:vAlign w:val="center"/>
          </w:tcPr>
          <w:p>
            <w:r>
              <w:t>Finance lead</w:t>
            </w:r>
          </w:p>
        </w:tc>
        <w:tc>
          <w:tcPr>
            <w:tcW w:type="dxa" w:w="3408"/>
            <w:vAlign w:val="center"/>
          </w:tcPr>
          <w:p>
            <w:r>
              <w:t>Leadership</w:t>
            </w:r>
          </w:p>
        </w:tc>
      </w:tr>
      <w:tr>
        <w:tc>
          <w:tcPr>
            <w:tcW w:type="dxa" w:w="3408"/>
            <w:vAlign w:val="center"/>
          </w:tcPr>
          <w:p>
            <w:r>
              <w:t>Fundraising</w:t>
            </w:r>
          </w:p>
        </w:tc>
        <w:tc>
          <w:tcPr>
            <w:tcW w:type="dxa" w:w="3408"/>
            <w:vAlign w:val="center"/>
          </w:tcPr>
          <w:p>
            <w:r>
              <w:t>Leadership/Strategy</w:t>
            </w:r>
          </w:p>
        </w:tc>
        <w:tc>
          <w:tcPr>
            <w:tcW w:type="dxa" w:w="3408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Traction/GTM</w:t>
            </w:r>
          </w:p>
        </w:tc>
        <w:tc>
          <w:tcPr>
            <w:tcW w:type="dxa" w:w="3408"/>
            <w:vAlign w:val="center"/>
          </w:tcPr>
          <w:p>
            <w:r>
              <w:t>GTM lead</w:t>
            </w:r>
          </w:p>
        </w:tc>
        <w:tc>
          <w:tcPr>
            <w:tcW w:type="dxa" w:w="3408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CX</w:t>
            </w:r>
          </w:p>
        </w:tc>
        <w:tc>
          <w:tcPr>
            <w:tcW w:type="dxa" w:w="3408"/>
            <w:vAlign w:val="center"/>
          </w:tcPr>
          <w:p>
            <w:r>
              <w:t>CX lead</w:t>
            </w:r>
          </w:p>
        </w:tc>
        <w:tc>
          <w:tcPr>
            <w:tcW w:type="dxa" w:w="3408"/>
            <w:vAlign w:val="center"/>
          </w:tcPr>
          <w:p>
            <w:r>
              <w:t>Operations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Operations</w:t>
            </w:r>
          </w:p>
        </w:tc>
        <w:tc>
          <w:tcPr>
            <w:tcW w:type="dxa" w:w="3408"/>
            <w:vAlign w:val="center"/>
          </w:tcPr>
          <w:p>
            <w:r>
              <w:t>Operations lead</w:t>
            </w:r>
          </w:p>
        </w:tc>
        <w:tc>
          <w:tcPr>
            <w:tcW w:type="dxa" w:w="3408"/>
            <w:vAlign w:val="center"/>
          </w:tcPr>
          <w:p>
            <w:r>
              <w:t>Leadership</w:t>
            </w:r>
          </w:p>
        </w:tc>
      </w:tr>
      <w:tr>
        <w:tc>
          <w:tcPr>
            <w:tcW w:type="dxa" w:w="3408"/>
            <w:vAlign w:val="center"/>
          </w:tcPr>
          <w:p>
            <w:r>
              <w:t>Technology/Data</w:t>
            </w:r>
          </w:p>
        </w:tc>
        <w:tc>
          <w:tcPr>
            <w:tcW w:type="dxa" w:w="3408"/>
            <w:vAlign w:val="center"/>
          </w:tcPr>
          <w:p>
            <w:r>
              <w:t>Technology lead</w:t>
            </w:r>
          </w:p>
        </w:tc>
        <w:tc>
          <w:tcPr>
            <w:tcW w:type="dxa" w:w="3408"/>
            <w:vAlign w:val="center"/>
          </w:tcPr>
          <w:p>
            <w:r>
              <w:t>Operations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People</w:t>
            </w:r>
          </w:p>
        </w:tc>
        <w:tc>
          <w:tcPr>
            <w:tcW w:type="dxa" w:w="3408"/>
            <w:vAlign w:val="center"/>
          </w:tcPr>
          <w:p>
            <w:r>
              <w:t>Leadership</w:t>
            </w:r>
          </w:p>
        </w:tc>
        <w:tc>
          <w:tcPr>
            <w:tcW w:type="dxa" w:w="3408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Legal/Compliance</w:t>
            </w:r>
          </w:p>
        </w:tc>
        <w:tc>
          <w:tcPr>
            <w:tcW w:type="dxa" w:w="3408"/>
            <w:vAlign w:val="center"/>
          </w:tcPr>
          <w:p>
            <w:r>
              <w:t>Legal/adviser</w:t>
            </w:r>
          </w:p>
        </w:tc>
        <w:tc>
          <w:tcPr>
            <w:tcW w:type="dxa" w:w="3408"/>
            <w:vAlign w:val="center"/>
          </w:tcPr>
          <w:p>
            <w:r>
              <w:t>Leadership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</w:t>
            </w:r>
          </w:p>
        </w:tc>
        <w:tc>
          <w:tcPr>
            <w:tcW w:type="dxa" w:w="3408"/>
            <w:vAlign w:val="center"/>
          </w:tcPr>
          <w:p>
            <w:r>
              <w:t>Leadership</w:t>
            </w:r>
          </w:p>
        </w:tc>
        <w:tc>
          <w:tcPr>
            <w:tcW w:type="dxa" w:w="3408"/>
            <w:vAlign w:val="center"/>
          </w:tcPr>
          <w:p>
            <w:r>
              <w:t>Relevant functional owner</w:t>
            </w:r>
          </w:p>
        </w:tc>
      </w:tr>
    </w:tbl>
    <w:p>
      <w:pPr>
        <w:pStyle w:val="Heading1"/>
      </w:pPr>
      <w:r>
        <w:t>29. Final Data Room Standard</w:t>
      </w:r>
    </w:p>
    <w:p>
      <w:r>
        <w:rPr>
          <w:b/>
        </w:rPr>
        <w:t>A diligence-ready ASOJU data room should allow a qualified investor or board member to move from claim → evidence → owner → source → implication without unnecessary friction.</w:t>
      </w:r>
    </w:p>
    <w:p>
      <w:r>
        <w:rPr>
          <w:b w:val="0"/>
        </w:rPr>
        <w:t>The data room is not a marketing folder. It is an evidence system.</w:t>
      </w:r>
    </w:p>
    <w:p>
      <w:pPr>
        <w:pStyle w:val="Heading1"/>
      </w:pPr>
      <w:r>
        <w:t>30. Governance</w:t>
      </w:r>
    </w:p>
    <w:p>
      <w:r>
        <w:rPr>
          <w:b w:val="0"/>
        </w:rPr>
        <w:t>Document owner: ASOJU Leadership / Finance / Strategy.</w:t>
      </w:r>
    </w:p>
    <w:p>
      <w:r>
        <w:rPr>
          <w:b w:val="0"/>
        </w:rPr>
        <w:t>Version: 1.0 | Investor, Board &amp; Financing Readiness.</w:t>
      </w:r>
    </w:p>
    <w:p>
      <w:r>
        <w:rPr>
          <w:b w:val="0"/>
        </w:rPr>
        <w:t>Use with the ASOJU Master Operating Plan, Board/Investor Readiness Playbook, Investor Pitch Deck Content &amp; Fundraising Narrative, Fundraising Financial Model and Investor Outreach &amp; Fundraising Execution Playbook.</w:t>
      </w:r>
    </w:p>
    <w:p>
      <w:r>
        <w:rPr>
          <w:b w:val="0"/>
        </w:rPr>
        <w:t>Before external sharing, review sensitive information, confidentiality obligations, privacy requirements and applicable legal/accounting requirements with appropriate advisers.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ASOJU | Due Diligence Data Room Index &amp; Checklist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