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ASOJU FRONT-END FEATURES &amp; ENGINEERING PERFECTION SPECIFICATION</w:t>
      </w:r>
    </w:p>
    <w:p>
      <w:pPr>
        <w:jc w:val="center"/>
      </w:pPr>
      <w:r>
        <w:rPr>
          <w:i/>
        </w:rPr>
        <w:t>Developer handoff — Customer Portal, Operations Control Centre, Field Agent/Provider App and shared UI</w:t>
        <w:br/>
        <w:t>Version 1.0 • 15 August 2026</w:t>
      </w:r>
    </w:p>
    <w:p>
      <w:pPr>
        <w:pStyle w:val="Heading1"/>
      </w:pPr>
      <w:r>
        <w:t>1. Purpose and developer mandate</w:t>
      </w:r>
    </w:p>
    <w:p>
      <w:r>
        <w:t>This is the frontend completion and perfection specification for the existing ASOJU platform. It translates the verified build documentation into a concrete UI/UX and engineering checklist. The goal is to perfect the interface without moving business authority out of the backend.</w:t>
      </w:r>
    </w:p>
    <w:p>
      <w:r>
        <w:t>Source boundary: the build documentation states that /frontend is Next.js and serves the customer portal, staff console and field app (Web/PWA). It defines capabilities and controls, but does not provide a complete route map, design-token file, screenshot baseline or endpoint inventory; those must be mapped from the current repository rather than invented.</w:t>
      </w:r>
    </w:p>
    <w:p>
      <w:pPr>
        <w:pStyle w:val="Heading1"/>
      </w:pPr>
      <w:r>
        <w:t>2. Non-negotiable engineering rules</w:t>
      </w:r>
    </w:p>
    <w:p>
      <w:pPr>
        <w:pStyle w:val="ListBullet"/>
      </w:pPr>
      <w:r>
        <w:t>Backend remains authoritative for case state, permissions, SLA, risk, quote validity, refund thresholds, financial calculations and all material transitions.</w:t>
      </w:r>
    </w:p>
    <w:p>
      <w:pPr>
        <w:pStyle w:val="ListBullet"/>
      </w:pPr>
      <w:r>
        <w:t>Never rely on hidden buttons or client-side roles for security. Handle backend 401/403/404/409 responses safely.</w:t>
      </w:r>
    </w:p>
    <w:p>
      <w:pPr>
        <w:pStyle w:val="ListBullet"/>
      </w:pPr>
      <w:r>
        <w:t>Respect case-scoped access: a staff role alone is never sufficient to access a case.</w:t>
      </w:r>
    </w:p>
    <w:p>
      <w:pPr>
        <w:pStyle w:val="ListBullet"/>
      </w:pPr>
      <w:r>
        <w:t>Use backend allowlist projections; do not fetch sensitive fields and hide them in React.</w:t>
      </w:r>
    </w:p>
    <w:p>
      <w:pPr>
        <w:pStyle w:val="ListBullet"/>
      </w:pPr>
      <w:r>
        <w:t>Evidence/documents use backend-issued short-lived signed URLs; never expose predictable public storage paths.</w:t>
      </w:r>
    </w:p>
    <w:p>
      <w:pPr>
        <w:pStyle w:val="ListBullet"/>
      </w:pPr>
      <w:r>
        <w:t>Every mutation has loading, success, validation, authorization, business-rule failure and retry states.</w:t>
      </w:r>
    </w:p>
    <w:p>
      <w:pPr>
        <w:pStyle w:val="ListBullet"/>
      </w:pPr>
      <w:r>
        <w:t>AI Concierge assists intake; it never independently advances cases, authorizes actions or makes binding business decisions.</w:t>
      </w:r>
    </w:p>
    <w:p>
      <w:pPr>
        <w:pStyle w:val="ListBullet"/>
      </w:pPr>
      <w:r>
        <w:t>Use append-only history visually: current state and historical events must be distinguishable.</w:t>
      </w:r>
    </w:p>
    <w:p>
      <w:pPr>
        <w:pStyle w:val="ListBullet"/>
      </w:pPr>
      <w:r>
        <w:t>Mobile-first Field App; responsive Customer/Partner portals; desktop-first Operations Console.</w:t>
      </w:r>
    </w:p>
    <w:p>
      <w:pPr>
        <w:pStyle w:val="ListBullet"/>
      </w:pPr>
      <w:r>
        <w:t>Never leave blank screens for loading, empty, error, offline or permission states.</w:t>
      </w:r>
    </w:p>
    <w:p>
      <w:pPr>
        <w:pStyle w:val="Heading1"/>
      </w:pPr>
      <w:r>
        <w:t>3. Surfaces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Surface</w:t>
            </w:r>
          </w:p>
        </w:tc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Primary purpose</w:t>
            </w:r>
          </w:p>
        </w:tc>
      </w:tr>
      <w:tr>
        <w:tc>
          <w:tcPr>
            <w:tcW w:type="dxa" w:w="3408"/>
          </w:tcPr>
          <w:p>
            <w:r>
              <w:t>Public/trust</w:t>
            </w:r>
          </w:p>
        </w:tc>
        <w:tc>
          <w:tcPr>
            <w:tcW w:type="dxa" w:w="3408"/>
          </w:tcPr>
          <w:p>
            <w:r>
              <w:t>Unauthenticated</w:t>
            </w:r>
          </w:p>
        </w:tc>
        <w:tc>
          <w:tcPr>
            <w:tcW w:type="dxa" w:w="3408"/>
          </w:tcPr>
          <w:p>
            <w:r>
              <w:t>Brand, services and approved anonymized public proof.</w:t>
            </w:r>
          </w:p>
        </w:tc>
      </w:tr>
      <w:tr>
        <w:tc>
          <w:tcPr>
            <w:tcW w:type="dxa" w:w="3408"/>
          </w:tcPr>
          <w:p>
            <w:r>
              <w:t>Customer Portal</w:t>
            </w:r>
          </w:p>
        </w:tc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Request, monitor, pay, review and manage own cases/resources.</w:t>
            </w:r>
          </w:p>
        </w:tc>
      </w:tr>
      <w:tr>
        <w:tc>
          <w:tcPr>
            <w:tcW w:type="dxa" w:w="3408"/>
          </w:tcPr>
          <w:p>
            <w:r>
              <w:t>Beneficiary Portal</w:t>
            </w:r>
          </w:p>
        </w:tc>
        <w:tc>
          <w:tcPr>
            <w:tcW w:type="dxa" w:w="3408"/>
          </w:tcPr>
          <w:p>
            <w:r>
              <w:t>BENEFICIARY</w:t>
            </w:r>
          </w:p>
        </w:tc>
        <w:tc>
          <w:tcPr>
            <w:tcW w:type="dxa" w:w="3408"/>
          </w:tcPr>
          <w:p>
            <w:r>
              <w:t>Read-only case status, schedule, evidence and reports only.</w:t>
            </w:r>
          </w:p>
        </w:tc>
      </w:tr>
      <w:tr>
        <w:tc>
          <w:tcPr>
            <w:tcW w:type="dxa" w:w="3408"/>
          </w:tcPr>
          <w:p>
            <w:r>
              <w:t>Operations Control Centre</w:t>
            </w:r>
          </w:p>
        </w:tc>
        <w:tc>
          <w:tcPr>
            <w:tcW w:type="dxa" w:w="3408"/>
          </w:tcPr>
          <w:p>
            <w:r>
              <w:t>Case Manager, RM, QC, Finance, Compliance/Risk, Admin, Super Admin</w:t>
            </w:r>
          </w:p>
        </w:tc>
        <w:tc>
          <w:tcPr>
            <w:tcW w:type="dxa" w:w="3408"/>
          </w:tcPr>
          <w:p>
            <w:r>
              <w:t>Operations, customer management, QC, finance, governance and audit.</w:t>
            </w:r>
          </w:p>
        </w:tc>
      </w:tr>
      <w:tr>
        <w:tc>
          <w:tcPr>
            <w:tcW w:type="dxa" w:w="3408"/>
          </w:tcPr>
          <w:p>
            <w:r>
              <w:t>Field Agent/Provider App</w:t>
            </w:r>
          </w:p>
        </w:tc>
        <w:tc>
          <w:tcPr>
            <w:tcW w:type="dxa" w:w="3408"/>
          </w:tcPr>
          <w:p>
            <w:r>
              <w:t>FIELD_AGENT / PROVIDER</w:t>
            </w:r>
          </w:p>
        </w:tc>
        <w:tc>
          <w:tcPr>
            <w:tcW w:type="dxa" w:w="3408"/>
          </w:tcPr>
          <w:p>
            <w:r>
              <w:t>Accept, check-in, execute checklist, capture evidence, escalate, submit.</w:t>
            </w:r>
          </w:p>
        </w:tc>
      </w:tr>
      <w:tr>
        <w:tc>
          <w:tcPr>
            <w:tcW w:type="dxa" w:w="3408"/>
          </w:tcPr>
          <w:p>
            <w:r>
              <w:t>Partner Portal</w:t>
            </w:r>
          </w:p>
        </w:tc>
        <w:tc>
          <w:tcPr>
            <w:tcW w:type="dxa" w:w="3408"/>
          </w:tcPr>
          <w:p>
            <w:r>
              <w:t>PARTNER</w:t>
            </w:r>
          </w:p>
        </w:tc>
        <w:tc>
          <w:tcPr>
            <w:tcW w:type="dxa" w:w="3408"/>
          </w:tcPr>
          <w:p>
            <w:r>
              <w:t>Read-only view of referred people/records; no financial data.</w:t>
            </w:r>
          </w:p>
        </w:tc>
      </w:tr>
    </w:tbl>
    <w:p>
      <w:pPr>
        <w:pStyle w:val="Heading1"/>
      </w:pPr>
      <w:r>
        <w:t>4. Shared shell and design system</w:t>
      </w:r>
    </w:p>
    <w:p>
      <w:pPr>
        <w:pStyle w:val="ListBullet"/>
      </w:pPr>
      <w:r>
        <w:t>Authenticated shell: brand, role-aware navigation, notifications, profile/session controls, help/support and breadcrumbs.</w:t>
      </w:r>
    </w:p>
    <w:p>
      <w:pPr>
        <w:pStyle w:val="ListBullet"/>
      </w:pPr>
      <w:r>
        <w:t>Public shell: ASOJU proposition, trust signals, services, sign-in/register and approved public proof.</w:t>
      </w:r>
    </w:p>
    <w:p>
      <w:pPr>
        <w:pStyle w:val="ListBullet"/>
      </w:pPr>
      <w:r>
        <w:t>Shared primitives: status badge, metric card, timeline, evidence tile, table, filter bar, form, modal, confirmation dialog, toast, skeleton, empty state, error state, pagination.</w:t>
      </w:r>
    </w:p>
    <w:p>
      <w:pPr>
        <w:pStyle w:val="ListBullet"/>
      </w:pPr>
      <w:r>
        <w:t>Buttons: consistent primary/secondary/destructive/link hierarchy. Forms: labels, help, validation, disabled, submitting and error states.</w:t>
      </w:r>
    </w:p>
    <w:p>
      <w:pPr>
        <w:pStyle w:val="ListBullet"/>
      </w:pPr>
      <w:r>
        <w:t>Semantic status colors plus text/icon; never use color alone. Visible keyboard focus and minimum 44px mobile touch targets.</w:t>
      </w:r>
    </w:p>
    <w:p>
      <w:pPr>
        <w:pStyle w:val="ListBullet"/>
      </w:pPr>
      <w:r>
        <w:t>Responsive tables transform to cards or controlled horizontal scroll; critical actions remain reachable.</w:t>
      </w:r>
    </w:p>
    <w:p>
      <w:pPr>
        <w:pStyle w:val="ListBullet"/>
      </w:pPr>
      <w:r>
        <w:t>Support reduced motion, browser zoom, semantic HTML and accessible labels/focus.</w:t>
      </w:r>
    </w:p>
    <w:p>
      <w:pPr>
        <w:pStyle w:val="Heading1"/>
      </w:pPr>
      <w:r>
        <w:t>5. Customer Portal</w:t>
      </w:r>
    </w:p>
    <w:p>
      <w:pPr>
        <w:pStyle w:val="Heading2"/>
      </w:pPr>
      <w:r>
        <w:t>5.1 Authentication</w:t>
      </w:r>
    </w:p>
    <w:p>
      <w:pPr>
        <w:pStyle w:val="ListBullet"/>
      </w:pPr>
      <w:r>
        <w:t>Registration/login/logout; password reset that does not reveal whether an account exists; session revocation; MFA where required; expired/revoked session handling.</w:t>
      </w:r>
    </w:p>
    <w:p>
      <w:pPr>
        <w:pStyle w:val="Heading2"/>
      </w:pPr>
      <w:r>
        <w:t>5.2 AI Diaspora Concierge</w:t>
      </w:r>
    </w:p>
    <w:p>
      <w:pPr>
        <w:pStyle w:val="ListBullet"/>
      </w:pPr>
      <w:r>
        <w:t>Natural-language request entry; conversation history; structured request summary; clear next action/handoff; safe draft retention; explicit degraded state if AI is unavailable; never present AI scoring as binding authorization.</w:t>
      </w:r>
    </w:p>
    <w:p>
      <w:pPr>
        <w:pStyle w:val="Heading2"/>
      </w:pPr>
      <w:r>
        <w:t>5.3 Portfolio dashboard</w:t>
      </w:r>
    </w:p>
    <w:p>
      <w:pPr>
        <w:pStyle w:val="ListBullet"/>
      </w:pPr>
      <w:r>
        <w:t>Active cases bucketed by status; exact total spend; saved properties/assets with latest case; beneficiaries and portal-claim state; upcoming visits; Concierge membership and Special Credit balance; referral stats. Scope strictly to the individual customer.</w:t>
      </w:r>
    </w:p>
    <w:p>
      <w:pPr>
        <w:pStyle w:val="Heading2"/>
      </w:pPr>
      <w:r>
        <w:t>5.4 My Nigeria</w:t>
      </w:r>
    </w:p>
    <w:p>
      <w:pPr>
        <w:pStyle w:val="ListBullet"/>
      </w:pPr>
      <w:r>
        <w:t>Manage saved beneficiaries, properties and assets; clear ownership/context; save/error states; staff can link saved resources only after server-side ownership verification.</w:t>
      </w:r>
    </w:p>
    <w:p>
      <w:pPr>
        <w:pStyle w:val="Heading2"/>
      </w:pPr>
      <w:r>
        <w:t>5.5 Case list/detail</w:t>
      </w:r>
    </w:p>
    <w:p>
      <w:pPr>
        <w:pStyle w:val="ListBullet"/>
      </w:pPr>
      <w:r>
        <w:t>Human-readable status; timeline; service type; scope; tasks; schedule; quote/payment state; evidence; report; approval; status history; ON_HOLD reason/resume state. Never show raw internal status codes as primary customer labels.</w:t>
      </w:r>
    </w:p>
    <w:p>
      <w:pPr>
        <w:pStyle w:val="Heading2"/>
      </w:pPr>
      <w:r>
        <w:t>5.6 Scope, quote and payment</w:t>
      </w:r>
    </w:p>
    <w:p>
      <w:pPr>
        <w:pStyle w:val="ListBullet"/>
      </w:pPr>
      <w:r>
        <w:t>Show objective, tasks, deliverables, exclusions and evidence requirements; distinguish scope versions; categorize quote lines as ASOJU fee/external cost/third-party fee/tax; show discount/Special Credit only on eligible service-fee lines; show quote expiry; hosted Paystack checkout; never treat a client-side screenshot as payment proof.</w:t>
      </w:r>
    </w:p>
    <w:p>
      <w:pPr>
        <w:pStyle w:val="Heading2"/>
      </w:pPr>
      <w:r>
        <w:t>5.7 Evidence/report/approval</w:t>
      </w:r>
    </w:p>
    <w:p>
      <w:pPr>
        <w:pStyle w:val="ListBullet"/>
      </w:pPr>
      <w:r>
        <w:t>Evidence gallery for photo/video/documents/notes using signed URLs; upload/view progress; document classification; report viewer; explicit limitations; customer approval; rating once per completed case; public trust opt-in off by default and anonymized.</w:t>
      </w:r>
    </w:p>
    <w:p>
      <w:pPr>
        <w:pStyle w:val="Heading2"/>
      </w:pPr>
      <w:r>
        <w:t>5.8 Notifications/referrals/membership</w:t>
      </w:r>
    </w:p>
    <w:p>
      <w:pPr>
        <w:pStyle w:val="ListBullet"/>
      </w:pPr>
      <w:r>
        <w:t>In-app notifications; WhatsApp/email/SMS preferences and delivery state; failed-delivery visibility; unique referral code/invite link; Priority/Premium plans; live plan configuration; ledger-derived Special Credit balance; subscription state and bounded billing behavior.</w:t>
      </w:r>
    </w:p>
    <w:p>
      <w:pPr>
        <w:pStyle w:val="Heading2"/>
      </w:pPr>
      <w:r>
        <w:t>5.9 Recurring services</w:t>
      </w:r>
    </w:p>
    <w:p>
      <w:pPr>
        <w:pStyle w:val="ListBullet"/>
      </w:pPr>
      <w:r>
        <w:t>Convert eligible completed cases to schedules; show frequency/next date/checklist relationship; future cases are generated by the system.</w:t>
      </w:r>
    </w:p>
    <w:p>
      <w:pPr>
        <w:pStyle w:val="Heading1"/>
      </w:pPr>
      <w:r>
        <w:t>6. Beneficiary Portal</w:t>
      </w:r>
    </w:p>
    <w:p>
      <w:pPr>
        <w:pStyle w:val="ListBullet"/>
      </w:pPr>
      <w:r>
        <w:t>Expiring single-use invite claim; read-only allowlist only: status, schedule, evidence, reports. Never fetch/show quotes, invoices, payments, collaborators, risk flags, incidents or the owning customer's identity.</w:t>
      </w:r>
    </w:p>
    <w:p>
      <w:pPr>
        <w:pStyle w:val="Heading1"/>
      </w:pPr>
      <w:r>
        <w:t>7. Operations Control Centre</w:t>
      </w:r>
    </w:p>
    <w:p>
      <w:pPr>
        <w:pStyle w:val="Heading2"/>
      </w:pPr>
      <w:r>
        <w:t>7.1 Queue and case management</w:t>
      </w:r>
    </w:p>
    <w:p>
      <w:pPr>
        <w:pStyle w:val="ListBullet"/>
      </w:pPr>
      <w:r>
        <w:t>Org-wide queue with triage/payment/assignment/QC/escalation/completion filters; overdue/no-owner exceptions; metadata-only queue visibility until case relationship exists; Claim action; owner, next action and SLA; case detail; quote; assignments; collaborators; state transitions; ON_HOLD.</w:t>
      </w:r>
    </w:p>
    <w:p>
      <w:pPr>
        <w:pStyle w:val="Heading2"/>
      </w:pPr>
      <w:r>
        <w:t>7.2 QC</w:t>
      </w:r>
    </w:p>
    <w:p>
      <w:pPr>
        <w:pStyle w:val="ListBullet"/>
      </w:pPr>
      <w:r>
        <w:t>Review field submission; render backend-defined QC outcomes; require limitation note for approve-with-limitation; require appropriate reasons for rework/revisit/incident; never treat submission as completion.</w:t>
      </w:r>
    </w:p>
    <w:p>
      <w:pPr>
        <w:pStyle w:val="Heading2"/>
      </w:pPr>
      <w:r>
        <w:t>7.3 CRM / relationship management</w:t>
      </w:r>
    </w:p>
    <w:p>
      <w:pPr>
        <w:pStyle w:val="ListBullet"/>
      </w:pPr>
      <w:r>
        <w:t>Customer service history: cases, total paid, average rating; portfolio-level Relationship Manager assignment; RM book of business; memberships/referrals/resources as permitted.</w:t>
      </w:r>
    </w:p>
    <w:p>
      <w:pPr>
        <w:pStyle w:val="Heading2"/>
      </w:pPr>
      <w:r>
        <w:t>7.4 Agents/providers</w:t>
      </w:r>
    </w:p>
    <w:p>
      <w:pPr>
        <w:pStyle w:val="ListBullet"/>
      </w:pPr>
      <w:r>
        <w:t>Agent activation/deactivation; provider lifecycle pending→under review→verified→active; admin verification; assignment status.</w:t>
      </w:r>
    </w:p>
    <w:p>
      <w:pPr>
        <w:pStyle w:val="Heading2"/>
      </w:pPr>
      <w:r>
        <w:t>7.5 Finance</w:t>
      </w:r>
    </w:p>
    <w:p>
      <w:pPr>
        <w:pStyle w:val="ListBullet"/>
      </w:pPr>
      <w:r>
        <w:t>Payment/reconciliation queue; maker-checker refund queue; direct costs; contribution margin; membership plan configuration; reconciliation mismatch resolution; Finance-only data stays role-scoped.</w:t>
      </w:r>
    </w:p>
    <w:p>
      <w:pPr>
        <w:pStyle w:val="Heading2"/>
      </w:pPr>
      <w:r>
        <w:t>7.6 Governance/audit/notifications</w:t>
      </w:r>
    </w:p>
    <w:p>
      <w:pPr>
        <w:pStyle w:val="ListBullet"/>
      </w:pPr>
      <w:r>
        <w:t>Searchable/filterable/paginated audit log; risk/compliance views by role; PII redaction for restricted staff; failed-notification queue with retry only for FAILED records.</w:t>
      </w:r>
    </w:p>
    <w:p>
      <w:pPr>
        <w:pStyle w:val="Heading2"/>
      </w:pPr>
      <w:r>
        <w:t>7.7 Analytics</w:t>
      </w:r>
    </w:p>
    <w:p>
      <w:pPr>
        <w:pStyle w:val="ListBullet"/>
      </w:pPr>
      <w:r>
        <w:t>Completion rate, repeat-customer rate, revenue, average case value, rating, QC rework, incident severity and contribution margin. Show data freshness. Do not calculate authoritative finance metrics in browser.</w:t>
      </w:r>
    </w:p>
    <w:p>
      <w:pPr>
        <w:pStyle w:val="Heading1"/>
      </w:pPr>
      <w:r>
        <w:t>8. Field Agent / Provider App</w:t>
      </w:r>
    </w:p>
    <w:p>
      <w:pPr>
        <w:pStyle w:val="ListBullet"/>
      </w:pPr>
      <w:r>
        <w:t>Mobile-first job list/card; accept/decline/check-in state; confirmed-scope checklist; server-timestamped check-in with GPS when granted; evidence capture; exception escalation; submit; offline banner; offline queue only for checklist ticks and evidence; automatic reconnect sync; idempotent replay; progress/retry states. Accept/decline/check-in/submit remain online actions as defined by the source build.</w:t>
      </w:r>
    </w:p>
    <w:p>
      <w:pPr>
        <w:pStyle w:val="Heading1"/>
      </w:pPr>
      <w:r>
        <w:t>9. Partner Portal</w:t>
      </w:r>
    </w:p>
    <w:p>
      <w:pPr>
        <w:pStyle w:val="ListBullet"/>
      </w:pPr>
      <w:r>
        <w:t>Read-only referred-person dashboard; no financial data; referral attribution; admin-controlled partner records.</w:t>
      </w:r>
    </w:p>
    <w:p>
      <w:pPr>
        <w:pStyle w:val="Heading1"/>
      </w:pPr>
      <w:r>
        <w:t>10. Public trust page</w:t>
      </w:r>
    </w:p>
    <w:p>
      <w:pPr>
        <w:pStyle w:val="ListBullet"/>
      </w:pPr>
      <w:r>
        <w:t>Unauthenticated; only explicitly consented anonymized ratings/testimonials; aggregate average rating and completed-case count; no customer name or case number.</w:t>
      </w:r>
    </w:p>
    <w:p>
      <w:pPr>
        <w:pStyle w:val="Heading1"/>
      </w:pPr>
      <w:r>
        <w:t>11. API/data handling rules</w:t>
      </w:r>
    </w:p>
    <w:p>
      <w:pPr>
        <w:pStyle w:val="ListBullet"/>
      </w:pPr>
      <w:r>
        <w:t>Generate/use typed contracts from the existing backend DTOs where possible.</w:t>
      </w:r>
    </w:p>
    <w:p>
      <w:pPr>
        <w:pStyle w:val="ListBullet"/>
      </w:pPr>
      <w:r>
        <w:t>Mutations must handle 401, 403, 404, 409, 422, 429 and 5xx distinctly where backend semantics permit.</w:t>
      </w:r>
    </w:p>
    <w:p>
      <w:pPr>
        <w:pStyle w:val="ListBullet"/>
      </w:pPr>
      <w:r>
        <w:t>409 conflicts must refresh/reconcile rather than overwrite server state.</w:t>
      </w:r>
    </w:p>
    <w:p>
      <w:pPr>
        <w:pStyle w:val="ListBullet"/>
      </w:pPr>
      <w:r>
        <w:t>Use request/idempotency IDs where backend supports them, especially evidence submission.</w:t>
      </w:r>
    </w:p>
    <w:p>
      <w:pPr>
        <w:pStyle w:val="ListBullet"/>
      </w:pPr>
      <w:r>
        <w:t>Do not persist sensitive case data unnecessarily in browser storage.</w:t>
      </w:r>
    </w:p>
    <w:p>
      <w:pPr>
        <w:pStyle w:val="ListBullet"/>
      </w:pPr>
      <w:r>
        <w:t>Never put secrets/API keys in client bundles.</w:t>
      </w:r>
    </w:p>
    <w:p>
      <w:pPr>
        <w:pStyle w:val="ListBullet"/>
      </w:pPr>
      <w:r>
        <w:t>Do not trust URL IDs, hidden fields or localStorage for authorization.</w:t>
      </w:r>
    </w:p>
    <w:p>
      <w:pPr>
        <w:pStyle w:val="ListBullet"/>
      </w:pPr>
      <w:r>
        <w:t>Use backend pagination/filtering for large datasets.</w:t>
      </w:r>
    </w:p>
    <w:p>
      <w:pPr>
        <w:pStyle w:val="ListBullet"/>
      </w:pPr>
      <w:r>
        <w:t>Display server timestamps consistently and make scheduling timezone behavior explicit.</w:t>
      </w:r>
    </w:p>
    <w:p>
      <w:r>
        <w:t>The supplied build documentation does not include a complete endpoint-by-endpoint API inventory. Map these UI requirements to the existing backend controllers/DTOs in the repository; do not invent a parallel API.</w:t>
      </w:r>
    </w:p>
    <w:p>
      <w:pPr>
        <w:pStyle w:val="Heading1"/>
      </w:pPr>
      <w:r>
        <w:t>12. Required state model on every important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Required behavior</w:t>
            </w:r>
          </w:p>
        </w:tc>
      </w:tr>
      <w:tr>
        <w:tc>
          <w:tcPr>
            <w:tcW w:type="dxa" w:w="5112"/>
          </w:tcPr>
          <w:p>
            <w:r>
              <w:t>Loading</w:t>
            </w:r>
          </w:p>
        </w:tc>
        <w:tc>
          <w:tcPr>
            <w:tcW w:type="dxa" w:w="5112"/>
          </w:tcPr>
          <w:p>
            <w:r>
              <w:t>Layout-matched skeleton; action-level disabled state.</w:t>
            </w:r>
          </w:p>
        </w:tc>
      </w:tr>
      <w:tr>
        <w:tc>
          <w:tcPr>
            <w:tcW w:type="dxa" w:w="5112"/>
          </w:tcPr>
          <w:p>
            <w:r>
              <w:t>Empty</w:t>
            </w:r>
          </w:p>
        </w:tc>
        <w:tc>
          <w:tcPr>
            <w:tcW w:type="dxa" w:w="5112"/>
          </w:tcPr>
          <w:p>
            <w:r>
              <w:t>Explain why empty and give next action.</w:t>
            </w:r>
          </w:p>
        </w:tc>
      </w:tr>
      <w:tr>
        <w:tc>
          <w:tcPr>
            <w:tcW w:type="dxa" w:w="5112"/>
          </w:tcPr>
          <w:p>
            <w:r>
              <w:t>Validation error</w:t>
            </w:r>
          </w:p>
        </w:tc>
        <w:tc>
          <w:tcPr>
            <w:tcW w:type="dxa" w:w="5112"/>
          </w:tcPr>
          <w:p>
            <w:r>
              <w:t>Inline message + summary for multi-field failures.</w:t>
            </w:r>
          </w:p>
        </w:tc>
      </w:tr>
      <w:tr>
        <w:tc>
          <w:tcPr>
            <w:tcW w:type="dxa" w:w="5112"/>
          </w:tcPr>
          <w:p>
            <w:r>
              <w:t>Business-rule error</w:t>
            </w:r>
          </w:p>
        </w:tc>
        <w:tc>
          <w:tcPr>
            <w:tcW w:type="dxa" w:w="5112"/>
          </w:tcPr>
          <w:p>
            <w:r>
              <w:t>Human-readable rule; never raw exception.</w:t>
            </w:r>
          </w:p>
        </w:tc>
      </w:tr>
      <w:tr>
        <w:tc>
          <w:tcPr>
            <w:tcW w:type="dxa" w:w="5112"/>
          </w:tcPr>
          <w:p>
            <w:r>
              <w:t>403</w:t>
            </w:r>
          </w:p>
        </w:tc>
        <w:tc>
          <w:tcPr>
            <w:tcW w:type="dxa" w:w="5112"/>
          </w:tcPr>
          <w:p>
            <w:r>
              <w:t>No protected data; safe permission message.</w:t>
            </w:r>
          </w:p>
        </w:tc>
      </w:tr>
      <w:tr>
        <w:tc>
          <w:tcPr>
            <w:tcW w:type="dxa" w:w="5112"/>
          </w:tcPr>
          <w:p>
            <w:r>
              <w:t>404</w:t>
            </w:r>
          </w:p>
        </w:tc>
        <w:tc>
          <w:tcPr>
            <w:tcW w:type="dxa" w:w="5112"/>
          </w:tcPr>
          <w:p>
            <w:r>
              <w:t>Generic not-found where existence could leak.</w:t>
            </w:r>
          </w:p>
        </w:tc>
      </w:tr>
      <w:tr>
        <w:tc>
          <w:tcPr>
            <w:tcW w:type="dxa" w:w="5112"/>
          </w:tcPr>
          <w:p>
            <w:r>
              <w:t>409</w:t>
            </w:r>
          </w:p>
        </w:tc>
        <w:tc>
          <w:tcPr>
            <w:tcW w:type="dxa" w:w="5112"/>
          </w:tcPr>
          <w:p>
            <w:r>
              <w:t>Explain server-state change; offer refresh.</w:t>
            </w:r>
          </w:p>
        </w:tc>
      </w:tr>
      <w:tr>
        <w:tc>
          <w:tcPr>
            <w:tcW w:type="dxa" w:w="5112"/>
          </w:tcPr>
          <w:p>
            <w:r>
              <w:t>Offline</w:t>
            </w:r>
          </w:p>
        </w:tc>
        <w:tc>
          <w:tcPr>
            <w:tcW w:type="dxa" w:w="5112"/>
          </w:tcPr>
          <w:p>
            <w:r>
              <w:t>Field App shows queued supported actions; network-required actions disabled elsewhere.</w:t>
            </w:r>
          </w:p>
        </w:tc>
      </w:tr>
      <w:tr>
        <w:tc>
          <w:tcPr>
            <w:tcW w:type="dxa" w:w="5112"/>
          </w:tcPr>
          <w:p>
            <w:r>
              <w:t>Integration failure</w:t>
            </w:r>
          </w:p>
        </w:tc>
        <w:tc>
          <w:tcPr>
            <w:tcW w:type="dxa" w:w="5112"/>
          </w:tcPr>
          <w:p>
            <w:r>
              <w:t>Useful provider-level explanation + retry/support path.</w:t>
            </w:r>
          </w:p>
        </w:tc>
      </w:tr>
      <w:tr>
        <w:tc>
          <w:tcPr>
            <w:tcW w:type="dxa" w:w="5112"/>
          </w:tcPr>
          <w:p>
            <w:r>
              <w:t>Session expired</w:t>
            </w:r>
          </w:p>
        </w:tc>
        <w:tc>
          <w:tcPr>
            <w:tcW w:type="dxa" w:w="5112"/>
          </w:tcPr>
          <w:p>
            <w:r>
              <w:t>Re-authenticate without silently losing safe draft work.</w:t>
            </w:r>
          </w:p>
        </w:tc>
      </w:tr>
      <w:tr>
        <w:tc>
          <w:tcPr>
            <w:tcW w:type="dxa" w:w="5112"/>
          </w:tcPr>
          <w:p>
            <w:r>
              <w:t>Stale</w:t>
            </w:r>
          </w:p>
        </w:tc>
        <w:tc>
          <w:tcPr>
            <w:tcW w:type="dxa" w:w="5112"/>
          </w:tcPr>
          <w:p>
            <w:r>
              <w:t>Show last-updated/freshness and refresh control where useful.</w:t>
            </w:r>
          </w:p>
        </w:tc>
      </w:tr>
    </w:tbl>
    <w:p>
      <w:pPr>
        <w:pStyle w:val="Heading1"/>
      </w:pPr>
      <w:r>
        <w:t>13. Responsive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Surface</w:t>
            </w:r>
          </w:p>
        </w:tc>
        <w:tc>
          <w:tcPr>
            <w:tcW w:type="dxa" w:w="5112"/>
          </w:tcPr>
          <w:p>
            <w:r>
              <w:t>Primary behavior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Responsive web/PWA; single-column mobile; clear primary action.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Desktop dense tables; tablet condensed tables; mobile cards/priority actions.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Mobile-first, one-handed, camera/GPS/offline workflow.</w:t>
            </w:r>
          </w:p>
        </w:tc>
      </w:tr>
      <w:tr>
        <w:tc>
          <w:tcPr>
            <w:tcW w:type="dxa" w:w="5112"/>
          </w:tcPr>
          <w:p>
            <w:r>
              <w:t>Partner</w:t>
            </w:r>
          </w:p>
        </w:tc>
        <w:tc>
          <w:tcPr>
            <w:tcW w:type="dxa" w:w="5112"/>
          </w:tcPr>
          <w:p>
            <w:r>
              <w:t>Responsive dashboard; mobile essential fields only.</w:t>
            </w:r>
          </w:p>
        </w:tc>
      </w:tr>
    </w:tbl>
    <w:p>
      <w:pPr>
        <w:pStyle w:val="Heading1"/>
      </w:pPr>
      <w:r>
        <w:t>14. Accessibility and usability</w:t>
      </w:r>
    </w:p>
    <w:p>
      <w:pPr>
        <w:pStyle w:val="ListBullet"/>
      </w:pPr>
      <w:r>
        <w:t>Keyboard navigation; visible focus; programmatic labels; meaningful alternative text; screen-reader announcements for important errors/status; no color-only status; browser zoom; large mobile controls; explicit destructive confirmations; reduced-motion support.</w:t>
      </w:r>
    </w:p>
    <w:p>
      <w:pPr>
        <w:pStyle w:val="Heading1"/>
      </w:pPr>
      <w:r>
        <w:t>15. QA / acceptance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Must pass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Register/login/reset/session/MFA paths.</w:t>
            </w:r>
          </w:p>
        </w:tc>
      </w:tr>
      <w:tr>
        <w:tc>
          <w:tcPr>
            <w:tcW w:type="dxa" w:w="5112"/>
          </w:tcPr>
          <w:p>
            <w:r>
              <w:t>Customer intake</w:t>
            </w:r>
          </w:p>
        </w:tc>
        <w:tc>
          <w:tcPr>
            <w:tcW w:type="dxa" w:w="5112"/>
          </w:tcPr>
          <w:p>
            <w:r>
              <w:t>Concierge request collection and safe failure.</w:t>
            </w:r>
          </w:p>
        </w:tc>
      </w:tr>
      <w:tr>
        <w:tc>
          <w:tcPr>
            <w:tcW w:type="dxa" w:w="5112"/>
          </w:tcPr>
          <w:p>
            <w:r>
              <w:t>Access control</w:t>
            </w:r>
          </w:p>
        </w:tc>
        <w:tc>
          <w:tcPr>
            <w:tcW w:type="dxa" w:w="5112"/>
          </w:tcPr>
          <w:p>
            <w:r>
              <w:t>Customer/beneficiary/partner isolation; staff case-scoping.</w:t>
            </w:r>
          </w:p>
        </w:tc>
      </w:tr>
      <w:tr>
        <w:tc>
          <w:tcPr>
            <w:tcW w:type="dxa" w:w="5112"/>
          </w:tcPr>
          <w:p>
            <w:r>
              <w:t>Quote/payment</w:t>
            </w:r>
          </w:p>
        </w:tc>
        <w:tc>
          <w:tcPr>
            <w:tcW w:type="dxa" w:w="5112"/>
          </w:tcPr>
          <w:p>
            <w:r>
              <w:t>Versioned scope, categorized quote, expiry, hosted checkout states.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Signed access, classification and unauthorized-access rejection.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Backend QC outcomes, required notes and next-state messaging.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Queue, claim, owner, SLA, case actions and audit.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Refund approval, reconciliation, cost/margin and role scoping.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Mobile accept/check-in/checklist/evidence/submit plus offline queue.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Preference, delivery state and retry.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Plan configuration, Special Credits and billing state.</w:t>
            </w:r>
          </w:p>
        </w:tc>
      </w:tr>
      <w:tr>
        <w:tc>
          <w:tcPr>
            <w:tcW w:type="dxa" w:w="5112"/>
          </w:tcPr>
          <w:p>
            <w:r>
              <w:t>Responsive</w:t>
            </w:r>
          </w:p>
        </w:tc>
        <w:tc>
          <w:tcPr>
            <w:tcW w:type="dxa" w:w="5112"/>
          </w:tcPr>
          <w:p>
            <w:r>
              <w:t>Critical screens across desktop/tablet/mobile.</w:t>
            </w:r>
          </w:p>
        </w:tc>
      </w:tr>
      <w:tr>
        <w:tc>
          <w:tcPr>
            <w:tcW w:type="dxa" w:w="5112"/>
          </w:tcPr>
          <w:p>
            <w:r>
              <w:t>Accessibility</w:t>
            </w:r>
          </w:p>
        </w:tc>
        <w:tc>
          <w:tcPr>
            <w:tcW w:type="dxa" w:w="5112"/>
          </w:tcPr>
          <w:p>
            <w:r>
              <w:t>Keyboard, focus, labels, contrast, zoom.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Pagination, progressive media loading, minimal layout shift.</w:t>
            </w:r>
          </w:p>
        </w:tc>
      </w:tr>
    </w:tbl>
    <w:p>
      <w:pPr>
        <w:pStyle w:val="Heading1"/>
      </w:pPr>
      <w:r>
        <w:t>16. Definition of done</w:t>
      </w:r>
    </w:p>
    <w:p>
      <w:pPr>
        <w:pStyle w:val="ListBullet"/>
      </w:pPr>
      <w:r>
        <w:t>Every source-defined feature has a discoverable role-appropriate screen/action.</w:t>
      </w:r>
    </w:p>
    <w:p>
      <w:pPr>
        <w:pStyle w:val="ListBullet"/>
      </w:pPr>
      <w:r>
        <w:t>Every important screen has loading, empty, error, permission and success states.</w:t>
      </w:r>
    </w:p>
    <w:p>
      <w:pPr>
        <w:pStyle w:val="ListBullet"/>
      </w:pPr>
      <w:r>
        <w:t>No accidental double submission; mutations communicate authoritative backend results.</w:t>
      </w:r>
    </w:p>
    <w:p>
      <w:pPr>
        <w:pStyle w:val="ListBullet"/>
      </w:pPr>
      <w:r>
        <w:t>Role/case access is enforced by backend and reflected safely in UX.</w:t>
      </w:r>
    </w:p>
    <w:p>
      <w:pPr>
        <w:pStyle w:val="ListBullet"/>
      </w:pPr>
      <w:r>
        <w:t>Evidence/document classification and signed URLs are respected.</w:t>
      </w:r>
    </w:p>
    <w:p>
      <w:pPr>
        <w:pStyle w:val="ListBullet"/>
      </w:pPr>
      <w:r>
        <w:t>Field offline behavior works exactly within the supported scope.</w:t>
      </w:r>
    </w:p>
    <w:p>
      <w:pPr>
        <w:pStyle w:val="ListBullet"/>
      </w:pPr>
      <w:r>
        <w:t>Shared design tokens/components replace screen-specific one-offs.</w:t>
      </w:r>
    </w:p>
    <w:p>
      <w:pPr>
        <w:pStyle w:val="ListBullet"/>
      </w:pPr>
      <w:r>
        <w:t>No raw backend enums, database fields or exceptions are shown as customer copy.</w:t>
      </w:r>
    </w:p>
    <w:p>
      <w:pPr>
        <w:pStyle w:val="ListBullet"/>
      </w:pPr>
      <w:r>
        <w:t>Production integrations never display success without backend confirmation.</w:t>
      </w:r>
    </w:p>
    <w:p>
      <w:pPr>
        <w:pStyle w:val="ListBullet"/>
      </w:pPr>
      <w:r>
        <w:t>Critical workflows have frontend E2E coverage plus manual responsive/accessibility QA.</w:t>
      </w:r>
    </w:p>
    <w:p>
      <w:pPr>
        <w:pStyle w:val="ListBullet"/>
      </w:pPr>
      <w:r>
        <w:t>Final route/component/API mapping is documented in the repository.</w:t>
      </w:r>
    </w:p>
    <w:p>
      <w:pPr>
        <w:pStyle w:val="Heading1"/>
      </w:pPr>
      <w:r>
        <w:t>17. Source-defined current engineering baseline</w:t>
      </w:r>
    </w:p>
    <w:p>
      <w:pPr>
        <w:pStyle w:val="ListBullet"/>
      </w:pPr>
      <w:r>
        <w:t>Frontend: Next.js; backend: NestJS + Prisma + PostgreSQL; one deployable frontend and backend modular monolith.</w:t>
      </w:r>
    </w:p>
    <w:p>
      <w:pPr>
        <w:pStyle w:val="ListBullet"/>
      </w:pPr>
      <w:r>
        <w:t>195 automated tests across 28 suites; 165 end-to-end tests across 24 suites; 0 mocked services in the E2E suite.</w:t>
      </w:r>
    </w:p>
    <w:p>
      <w:pPr>
        <w:pStyle w:val="ListBullet"/>
      </w:pPr>
      <w:r>
        <w:t>Security controls include case-scoped authorization, mandatory MFA for privileged roles, PII redaction, document classification, signed evidence access and append-only audit.</w:t>
      </w:r>
    </w:p>
    <w:p>
      <w:pPr>
        <w:pStyle w:val="ListBullet"/>
      </w:pPr>
      <w:r>
        <w:t>Current build gaps explicitly noted by source: live vendor accounts/production credentials, final inbound WhatsApp signature verification, penetration test, backup/restore testing, secrets-management tooling and written operational runbooks.</w:t>
      </w:r>
    </w:p>
    <w:p>
      <w:pPr>
        <w:pStyle w:val="Heading1"/>
      </w:pPr>
      <w:r>
        <w:t>18. Final developer execution checklist</w:t>
      </w:r>
    </w:p>
    <w:p>
      <w:pPr>
        <w:pStyle w:val="ListBullet"/>
      </w:pPr>
      <w:r>
        <w:t>Inventory the current Next.js routes and map them to this document.</w:t>
      </w:r>
    </w:p>
    <w:p>
      <w:pPr>
        <w:pStyle w:val="ListBullet"/>
      </w:pPr>
      <w:r>
        <w:t>Inventory existing React components; consolidate duplicates into shared primitives.</w:t>
      </w:r>
    </w:p>
    <w:p>
      <w:pPr>
        <w:pStyle w:val="ListBullet"/>
      </w:pPr>
      <w:r>
        <w:t>Confirm design tokens, typography, breakpoints and status semantics.</w:t>
      </w:r>
    </w:p>
    <w:p>
      <w:pPr>
        <w:pStyle w:val="ListBullet"/>
      </w:pPr>
      <w:r>
        <w:t>Complete Customer Portal states and polish all critical journeys.</w:t>
      </w:r>
    </w:p>
    <w:p>
      <w:pPr>
        <w:pStyle w:val="ListBullet"/>
      </w:pPr>
      <w:r>
        <w:t>Complete Operations Control Centre states and dense-data UX.</w:t>
      </w:r>
    </w:p>
    <w:p>
      <w:pPr>
        <w:pStyle w:val="ListBullet"/>
      </w:pPr>
      <w:r>
        <w:t>Complete Field App mobile/offline UX on real devices.</w:t>
      </w:r>
    </w:p>
    <w:p>
      <w:pPr>
        <w:pStyle w:val="ListBullet"/>
      </w:pPr>
      <w:r>
        <w:t>Complete Beneficiary and Partner role-specific experiences.</w:t>
      </w:r>
    </w:p>
    <w:p>
      <w:pPr>
        <w:pStyle w:val="ListBullet"/>
      </w:pPr>
      <w:r>
        <w:t>Complete evidence/report viewers and public trust page.</w:t>
      </w:r>
    </w:p>
    <w:p>
      <w:pPr>
        <w:pStyle w:val="ListBullet"/>
      </w:pPr>
      <w:r>
        <w:t>Add frontend E2E coverage for the golden path and role isolation.</w:t>
      </w:r>
    </w:p>
    <w:p>
      <w:pPr>
        <w:pStyle w:val="ListBullet"/>
      </w:pPr>
      <w:r>
        <w:t>Run visual regression, accessibility, responsive and performance audits.</w:t>
      </w:r>
    </w:p>
    <w:p>
      <w:pPr>
        <w:pStyle w:val="ListBullet"/>
      </w:pPr>
      <w:r>
        <w:t>Document final routes, components and backend DTO/API mappings in the repository.</w:t>
      </w:r>
    </w:p>
    <w:p>
      <w:r>
        <w:t>Primary source: ASOJU Platform Build Documentation, August 10, 2026. This document is a frontend implementation and QA translation of that source. It does not claim that every listed screen is already visually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