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ASOJU HOMEPAGE UI/UX &amp; FRONT-END ENGINEERING SPECIFICATION</w:t>
      </w:r>
    </w:p>
    <w:p>
      <w:pPr>
        <w:jc w:val="center"/>
      </w:pPr>
      <w:r>
        <w:rPr>
          <w:i/>
        </w:rPr>
        <w:t>Locked homepage architecture • AI Concierge first-instance case creation • Six-service navigation</w:t>
        <w:br/>
        <w:t>Version 1.0 • 15 August 2026</w:t>
      </w:r>
    </w:p>
    <w:p>
      <w:pPr>
        <w:pStyle w:val="Heading1"/>
      </w:pPr>
      <w:r>
        <w:t>1. Objective</w:t>
      </w:r>
    </w:p>
    <w:p>
      <w:r>
        <w:t>Make the ASOJU homepage a strong product-and-brand presentation, not a passive brochure. A visitor must immediately understand what ASOJU does, recognize the six service families, trust the representation model, and be able to start an AI Concierge conversation without signing in.</w:t>
      </w:r>
    </w:p>
    <w:p>
      <w:r>
        <w:t>The homepage's primary conversion path is: Discover → Describe → Clarify → Sign in/Create account → Create case → Scope → Quote → Payment → Execution.</w:t>
      </w:r>
    </w:p>
    <w:p>
      <w:r>
        <w:t>Important product rule: anonymous visitors may use the AI Concierge for first-instance exploration and request clarification. Authentication becomes mandatory when the user is ready to create the formal case and proceed toward scope/quote/payment.</w:t>
      </w:r>
    </w:p>
    <w:p>
      <w:pPr>
        <w:pStyle w:val="Heading1"/>
      </w:pPr>
      <w:r>
        <w:t>2. Locked homepage navigation</w:t>
      </w:r>
    </w:p>
    <w:tbl>
      <w:tblPr>
        <w:tblStyle w:val="TableGrid"/>
        <w:tblW w:type="auto" w:w="0"/>
        <w:tblLook w:firstColumn="1" w:firstRow="1" w:lastColumn="0" w:lastRow="0" w:noHBand="0" w:noVBand="1" w:val="04A0"/>
      </w:tblPr>
      <w:tblGrid>
        <w:gridCol w:w="3408"/>
        <w:gridCol w:w="3408"/>
        <w:gridCol w:w="3408"/>
      </w:tblGrid>
      <w:tr>
        <w:tc>
          <w:tcPr>
            <w:tcW w:type="dxa" w:w="3408"/>
          </w:tcPr>
          <w:p>
            <w:r>
              <w:t>Order</w:t>
            </w:r>
          </w:p>
        </w:tc>
        <w:tc>
          <w:tcPr>
            <w:tcW w:type="dxa" w:w="3408"/>
          </w:tcPr>
          <w:p>
            <w:r>
              <w:t>Menu</w:t>
            </w:r>
          </w:p>
        </w:tc>
        <w:tc>
          <w:tcPr>
            <w:tcW w:type="dxa" w:w="3408"/>
          </w:tcPr>
          <w:p>
            <w:r>
              <w:t>Behavior</w:t>
            </w:r>
          </w:p>
        </w:tc>
      </w:tr>
      <w:tr>
        <w:tc>
          <w:tcPr>
            <w:tcW w:type="dxa" w:w="3408"/>
          </w:tcPr>
          <w:p>
            <w:r>
              <w:t>1</w:t>
            </w:r>
          </w:p>
        </w:tc>
        <w:tc>
          <w:tcPr>
            <w:tcW w:type="dxa" w:w="3408"/>
          </w:tcPr>
          <w:p>
            <w:r>
              <w:t>Services ▾</w:t>
            </w:r>
          </w:p>
        </w:tc>
        <w:tc>
          <w:tcPr>
            <w:tcW w:type="dxa" w:w="3408"/>
          </w:tcPr>
          <w:p>
            <w:r>
              <w:t>Opens the six locked ASOJU service families.</w:t>
            </w:r>
          </w:p>
        </w:tc>
      </w:tr>
      <w:tr>
        <w:tc>
          <w:tcPr>
            <w:tcW w:type="dxa" w:w="3408"/>
          </w:tcPr>
          <w:p>
            <w:r>
              <w:t>2</w:t>
            </w:r>
          </w:p>
        </w:tc>
        <w:tc>
          <w:tcPr>
            <w:tcW w:type="dxa" w:w="3408"/>
          </w:tcPr>
          <w:p>
            <w:r>
              <w:t>How It Works</w:t>
            </w:r>
          </w:p>
        </w:tc>
        <w:tc>
          <w:tcPr>
            <w:tcW w:type="dxa" w:w="3408"/>
          </w:tcPr>
          <w:p>
            <w:r>
              <w:t>Explains Tell us → Define it → We handle it → You see what happened.</w:t>
            </w:r>
          </w:p>
        </w:tc>
      </w:tr>
      <w:tr>
        <w:tc>
          <w:tcPr>
            <w:tcW w:type="dxa" w:w="3408"/>
          </w:tcPr>
          <w:p>
            <w:r>
              <w:t>3</w:t>
            </w:r>
          </w:p>
        </w:tc>
        <w:tc>
          <w:tcPr>
            <w:tcW w:type="dxa" w:w="3408"/>
          </w:tcPr>
          <w:p>
            <w:r>
              <w:t>Why ASOJU</w:t>
            </w:r>
          </w:p>
        </w:tc>
        <w:tc>
          <w:tcPr>
            <w:tcW w:type="dxa" w:w="3408"/>
          </w:tcPr>
          <w:p>
            <w:r>
              <w:t>Explains trusted representation, evidence/visibility, clear scope/costs and accountability.</w:t>
            </w:r>
          </w:p>
        </w:tc>
      </w:tr>
      <w:tr>
        <w:tc>
          <w:tcPr>
            <w:tcW w:type="dxa" w:w="3408"/>
          </w:tcPr>
          <w:p>
            <w:r>
              <w:t>4</w:t>
            </w:r>
          </w:p>
        </w:tc>
        <w:tc>
          <w:tcPr>
            <w:tcW w:type="dxa" w:w="3408"/>
          </w:tcPr>
          <w:p>
            <w:r>
              <w:t>Trust</w:t>
            </w:r>
          </w:p>
        </w:tc>
        <w:tc>
          <w:tcPr>
            <w:tcW w:type="dxa" w:w="3408"/>
          </w:tcPr>
          <w:p>
            <w:r>
              <w:t>Public trust/social proof using only approved anonymized evidence.</w:t>
            </w:r>
          </w:p>
        </w:tc>
      </w:tr>
      <w:tr>
        <w:tc>
          <w:tcPr>
            <w:tcW w:type="dxa" w:w="3408"/>
          </w:tcPr>
          <w:p>
            <w:r>
              <w:t>5</w:t>
            </w:r>
          </w:p>
        </w:tc>
        <w:tc>
          <w:tcPr>
            <w:tcW w:type="dxa" w:w="3408"/>
          </w:tcPr>
          <w:p>
            <w:r>
              <w:t>Resources</w:t>
            </w:r>
          </w:p>
        </w:tc>
        <w:tc>
          <w:tcPr>
            <w:tcW w:type="dxa" w:w="3408"/>
          </w:tcPr>
          <w:p>
            <w:r>
              <w:t>Educational/insight content.</w:t>
            </w:r>
          </w:p>
        </w:tc>
      </w:tr>
      <w:tr>
        <w:tc>
          <w:tcPr>
            <w:tcW w:type="dxa" w:w="3408"/>
          </w:tcPr>
          <w:p>
            <w:r>
              <w:t>6</w:t>
            </w:r>
          </w:p>
        </w:tc>
        <w:tc>
          <w:tcPr>
            <w:tcW w:type="dxa" w:w="3408"/>
          </w:tcPr>
          <w:p>
            <w:r>
              <w:t>Sign In</w:t>
            </w:r>
          </w:p>
        </w:tc>
        <w:tc>
          <w:tcPr>
            <w:tcW w:type="dxa" w:w="3408"/>
          </w:tcPr>
          <w:p>
            <w:r>
              <w:t>Authenticated customer entry.</w:t>
            </w:r>
          </w:p>
        </w:tc>
      </w:tr>
      <w:tr>
        <w:tc>
          <w:tcPr>
            <w:tcW w:type="dxa" w:w="3408"/>
          </w:tcPr>
          <w:p>
            <w:r>
              <w:t>7</w:t>
            </w:r>
          </w:p>
        </w:tc>
        <w:tc>
          <w:tcPr>
            <w:tcW w:type="dxa" w:w="3408"/>
          </w:tcPr>
          <w:p>
            <w:r>
              <w:t>Get Started</w:t>
            </w:r>
          </w:p>
        </w:tc>
        <w:tc>
          <w:tcPr>
            <w:tcW w:type="dxa" w:w="3408"/>
          </w:tcPr>
          <w:p>
            <w:r>
              <w:t>Primary CTA; opens the Concierge/request flow.</w:t>
            </w:r>
          </w:p>
        </w:tc>
      </w:tr>
    </w:tbl>
    <w:p>
      <w:r>
        <w:t>Locked Services menu: ASOJU Arrivals, ASOJU Inspect, ASOJU Build, ASOJU Care, ASOJU Verify, ASOJU Assist. Farewell is excluded.</w:t>
      </w:r>
    </w:p>
    <w:p>
      <w:pPr>
        <w:pStyle w:val="Heading1"/>
      </w:pPr>
      <w:r>
        <w:t>3. Header specification</w:t>
      </w:r>
    </w:p>
    <w:p>
      <w:pPr>
        <w:pStyle w:val="ListBullet"/>
      </w:pPr>
      <w:r>
        <w:t>Desktop: ASOJU logo | Services | How It Works | Why ASOJU | Trust | Resources | Sign In | Get Started.</w:t>
      </w:r>
    </w:p>
    <w:p>
      <w:pPr>
        <w:pStyle w:val="ListBullet"/>
      </w:pPr>
      <w:r>
        <w:t>Mobile: menu trigger | ASOJU logo | Get Started.</w:t>
      </w:r>
    </w:p>
    <w:p>
      <w:pPr>
        <w:pStyle w:val="ListBullet"/>
      </w:pPr>
      <w:r>
        <w:t>Header remains visually stable while scrolling; the primary CTA remains easy to reach.</w:t>
      </w:r>
    </w:p>
    <w:p>
      <w:pPr>
        <w:pStyle w:val="ListBullet"/>
      </w:pPr>
      <w:r>
        <w:t>Do not add competing top-level service categories.</w:t>
      </w:r>
    </w:p>
    <w:p>
      <w:pPr>
        <w:pStyle w:val="ListBullet"/>
      </w:pPr>
      <w:r>
        <w:t>Service labels must use the exact locked names everywhere on the public homepage.</w:t>
      </w:r>
    </w:p>
    <w:p>
      <w:pPr>
        <w:pStyle w:val="Heading1"/>
      </w:pPr>
      <w:r>
        <w:t>4. Hero — primary product surface</w:t>
      </w:r>
    </w:p>
    <w:p>
      <w:r>
        <w:t>The hero is the most important section and must visually prioritize the AI Concierge.</w:t>
      </w:r>
    </w:p>
    <w:p>
      <w:pPr>
        <w:pStyle w:val="Heading2"/>
      </w:pPr>
      <w:r>
        <w:t>4.1 Hero message hierarchy</w:t>
      </w:r>
    </w:p>
    <w:p>
      <w:pPr>
        <w:pStyle w:val="ListBullet"/>
      </w:pPr>
      <w:r>
        <w:t>Headline: “Be there, even when you can't be there.”</w:t>
      </w:r>
    </w:p>
    <w:p>
      <w:pPr>
        <w:pStyle w:val="ListBullet"/>
      </w:pPr>
      <w:r>
        <w:t>Supporting proposition: “ASOJU helps you handle important things in Nigeria from wherever you are — with trusted people on the ground, clear scope, evidence and accountability.”</w:t>
      </w:r>
    </w:p>
    <w:p>
      <w:pPr>
        <w:pStyle w:val="ListBullet"/>
      </w:pPr>
      <w:r>
        <w:t>Concierge heading: “Tell ASOJU what you need”.</w:t>
      </w:r>
    </w:p>
    <w:p>
      <w:pPr>
        <w:pStyle w:val="ListBullet"/>
      </w:pPr>
      <w:r>
        <w:t>Input prompt: “What do you need help with in Nigeria? Tell us what you need in your own words…”</w:t>
      </w:r>
    </w:p>
    <w:p>
      <w:pPr>
        <w:pStyle w:val="ListBullet"/>
      </w:pPr>
      <w:r>
        <w:t>Example prompts: property inspection in Lagos; family support in Abuja; building-progress check; arrival/settling support.</w:t>
      </w:r>
    </w:p>
    <w:p>
      <w:pPr>
        <w:pStyle w:val="ListBullet"/>
      </w:pPr>
      <w:r>
        <w:t>Primary action: “Start with ASOJU →”.</w:t>
      </w:r>
    </w:p>
    <w:p>
      <w:pPr>
        <w:pStyle w:val="Heading2"/>
      </w:pPr>
      <w:r>
        <w:t>4.2 Anonymous Concierge behavior</w:t>
      </w:r>
    </w:p>
    <w:p>
      <w:pPr>
        <w:pStyle w:val="ListBullet"/>
      </w:pPr>
      <w:r>
        <w:t>Do not require sign-in to open the Concierge.</w:t>
      </w:r>
    </w:p>
    <w:p>
      <w:pPr>
        <w:pStyle w:val="ListBullet"/>
      </w:pPr>
      <w:r>
        <w:t>Allow natural-language request entry and clarifying questions.</w:t>
      </w:r>
    </w:p>
    <w:p>
      <w:pPr>
        <w:pStyle w:val="ListBullet"/>
      </w:pPr>
      <w:r>
        <w:t>Build a structured request preview from the conversation.</w:t>
      </w:r>
    </w:p>
    <w:p>
      <w:pPr>
        <w:pStyle w:val="ListBullet"/>
      </w:pPr>
      <w:r>
        <w:t>Clearly communicate that the visitor is exploring/defining a request, not yet creating a formal case.</w:t>
      </w:r>
    </w:p>
    <w:p>
      <w:pPr>
        <w:pStyle w:val="ListBullet"/>
      </w:pPr>
      <w:r>
        <w:t>Preserve the conversation/request draft through the authentication handoff where technically safe.</w:t>
      </w:r>
    </w:p>
    <w:p>
      <w:pPr>
        <w:pStyle w:val="ListBullet"/>
      </w:pPr>
      <w:r>
        <w:t>Never claim that a case exists until the authenticated case-creation request succeeds on the backend.</w:t>
      </w:r>
    </w:p>
    <w:p>
      <w:pPr>
        <w:pStyle w:val="Heading2"/>
      </w:pPr>
      <w:r>
        <w:t>4.3 Authentication gate</w:t>
      </w:r>
    </w:p>
    <w:p>
      <w:r>
        <w:t>When the visitor reaches formal case creation, display: “We've got what we need to create your request. Sign in or create your ASOJU account to continue.”</w:t>
      </w:r>
    </w:p>
    <w:p>
      <w:pPr>
        <w:pStyle w:val="ListBullet"/>
      </w:pPr>
      <w:r>
        <w:t>Actions: Sign In | Create Account.</w:t>
      </w:r>
    </w:p>
    <w:p>
      <w:pPr>
        <w:pStyle w:val="ListBullet"/>
      </w:pPr>
      <w:r>
        <w:t>Explain that the request/conversation details will be preserved.</w:t>
      </w:r>
    </w:p>
    <w:p>
      <w:pPr>
        <w:pStyle w:val="ListBullet"/>
      </w:pPr>
      <w:r>
        <w:t>After successful authentication, return the user to the structured request so they can create the case without restarting.</w:t>
      </w:r>
    </w:p>
    <w:p>
      <w:pPr>
        <w:pStyle w:val="ListBullet"/>
      </w:pPr>
      <w:r>
        <w:t>Authentication is required before formal case creation, quote progression and payment.</w:t>
      </w:r>
    </w:p>
    <w:p>
      <w:pPr>
        <w:pStyle w:val="Heading1"/>
      </w:pPr>
      <w:r>
        <w:t>5. Hero trust strip</w:t>
      </w:r>
    </w:p>
    <w:p>
      <w:r>
        <w:t>Immediately below the Concierge, display four concise trust principles:</w:t>
      </w:r>
    </w:p>
    <w:p>
      <w:pPr>
        <w:pStyle w:val="ListBullet"/>
      </w:pPr>
      <w:r>
        <w:t>Trusted representation in Nigeria</w:t>
      </w:r>
    </w:p>
    <w:p>
      <w:pPr>
        <w:pStyle w:val="ListBullet"/>
      </w:pPr>
      <w:r>
        <w:t>Clear scope</w:t>
      </w:r>
    </w:p>
    <w:p>
      <w:pPr>
        <w:pStyle w:val="ListBullet"/>
      </w:pPr>
      <w:r>
        <w:t>Accountable execution</w:t>
      </w:r>
    </w:p>
    <w:p>
      <w:pPr>
        <w:pStyle w:val="ListBullet"/>
      </w:pPr>
      <w:r>
        <w:t>Evidence-backed updates</w:t>
      </w:r>
    </w:p>
    <w:p>
      <w:pPr>
        <w:pStyle w:val="ListBullet"/>
      </w:pPr>
      <w:r>
        <w:t>Secure payments</w:t>
      </w:r>
    </w:p>
    <w:p>
      <w:r>
        <w:t>These are positioning/trust statements, not fabricated performance claims.</w:t>
      </w:r>
    </w:p>
    <w:p>
      <w:pPr>
        <w:pStyle w:val="Heading1"/>
      </w:pPr>
      <w:r>
        <w:t>6. Services section</w:t>
      </w:r>
    </w:p>
    <w:p>
      <w:pPr>
        <w:pStyle w:val="Heading2"/>
      </w:pPr>
      <w:r>
        <w:t>6.1 Section message</w:t>
      </w:r>
    </w:p>
    <w:p>
      <w:r>
        <w:t>Headline: “Whatever needs someone you trust on the ground.”</w:t>
      </w:r>
    </w:p>
    <w:p>
      <w:r>
        <w:t>Use six visually consistent service cards. Each card has the exact service name, its locked one-line promise, a concise service summary and an Explore CTA.</w:t>
      </w:r>
    </w:p>
    <w:tbl>
      <w:tblPr>
        <w:tblStyle w:val="TableGrid"/>
        <w:tblW w:type="auto" w:w="0"/>
        <w:tblLook w:firstColumn="1" w:firstRow="1" w:lastColumn="0" w:lastRow="0" w:noHBand="0" w:noVBand="1" w:val="04A0"/>
      </w:tblPr>
      <w:tblGrid>
        <w:gridCol w:w="3408"/>
        <w:gridCol w:w="3408"/>
        <w:gridCol w:w="3408"/>
      </w:tblGrid>
      <w:tr>
        <w:tc>
          <w:tcPr>
            <w:tcW w:type="dxa" w:w="3408"/>
          </w:tcPr>
          <w:p>
            <w:r>
              <w:t>Service</w:t>
            </w:r>
          </w:p>
        </w:tc>
        <w:tc>
          <w:tcPr>
            <w:tcW w:type="dxa" w:w="3408"/>
          </w:tcPr>
          <w:p>
            <w:r>
              <w:t>Locked promise</w:t>
            </w:r>
          </w:p>
        </w:tc>
        <w:tc>
          <w:tcPr>
            <w:tcW w:type="dxa" w:w="3408"/>
          </w:tcPr>
          <w:p>
            <w:r>
              <w:t>CTA</w:t>
            </w:r>
          </w:p>
        </w:tc>
      </w:tr>
      <w:tr>
        <w:tc>
          <w:tcPr>
            <w:tcW w:type="dxa" w:w="3408"/>
          </w:tcPr>
          <w:p>
            <w:r>
              <w:t>ASOJU Arrivals</w:t>
            </w:r>
          </w:p>
        </w:tc>
        <w:tc>
          <w:tcPr>
            <w:tcW w:type="dxa" w:w="3408"/>
          </w:tcPr>
          <w:p>
            <w:r>
              <w:t>Arrive in Nigeria with trusted support on the ground.</w:t>
            </w:r>
          </w:p>
        </w:tc>
        <w:tc>
          <w:tcPr>
            <w:tcW w:type="dxa" w:w="3408"/>
          </w:tcPr>
          <w:p>
            <w:r>
              <w:t>Explore ASOJU Arrivals →</w:t>
            </w:r>
          </w:p>
        </w:tc>
      </w:tr>
      <w:tr>
        <w:tc>
          <w:tcPr>
            <w:tcW w:type="dxa" w:w="3408"/>
          </w:tcPr>
          <w:p>
            <w:r>
              <w:t>ASOJU Inspect</w:t>
            </w:r>
          </w:p>
        </w:tc>
        <w:tc>
          <w:tcPr>
            <w:tcW w:type="dxa" w:w="3408"/>
          </w:tcPr>
          <w:p>
            <w:r>
              <w:t>Know what is happening on the ground.</w:t>
            </w:r>
          </w:p>
        </w:tc>
        <w:tc>
          <w:tcPr>
            <w:tcW w:type="dxa" w:w="3408"/>
          </w:tcPr>
          <w:p>
            <w:r>
              <w:t>Explore ASOJU Inspect →</w:t>
            </w:r>
          </w:p>
        </w:tc>
      </w:tr>
      <w:tr>
        <w:tc>
          <w:tcPr>
            <w:tcW w:type="dxa" w:w="3408"/>
          </w:tcPr>
          <w:p>
            <w:r>
              <w:t>ASOJU Build</w:t>
            </w:r>
          </w:p>
        </w:tc>
        <w:tc>
          <w:tcPr>
            <w:tcW w:type="dxa" w:w="3408"/>
          </w:tcPr>
          <w:p>
            <w:r>
              <w:t>Keep your project moving, even from abroad.</w:t>
            </w:r>
          </w:p>
        </w:tc>
        <w:tc>
          <w:tcPr>
            <w:tcW w:type="dxa" w:w="3408"/>
          </w:tcPr>
          <w:p>
            <w:r>
              <w:t>Explore ASOJU Build →</w:t>
            </w:r>
          </w:p>
        </w:tc>
      </w:tr>
      <w:tr>
        <w:tc>
          <w:tcPr>
            <w:tcW w:type="dxa" w:w="3408"/>
          </w:tcPr>
          <w:p>
            <w:r>
              <w:t>ASOJU Care</w:t>
            </w:r>
          </w:p>
        </w:tc>
        <w:tc>
          <w:tcPr>
            <w:tcW w:type="dxa" w:w="3408"/>
          </w:tcPr>
          <w:p>
            <w:r>
              <w:t>Be there for the people who matter, even when you're far away.</w:t>
            </w:r>
          </w:p>
        </w:tc>
        <w:tc>
          <w:tcPr>
            <w:tcW w:type="dxa" w:w="3408"/>
          </w:tcPr>
          <w:p>
            <w:r>
              <w:t>Explore ASOJU Care →</w:t>
            </w:r>
          </w:p>
        </w:tc>
      </w:tr>
      <w:tr>
        <w:tc>
          <w:tcPr>
            <w:tcW w:type="dxa" w:w="3408"/>
          </w:tcPr>
          <w:p>
            <w:r>
              <w:t>ASOJU Verify</w:t>
            </w:r>
          </w:p>
        </w:tc>
        <w:tc>
          <w:tcPr>
            <w:tcW w:type="dxa" w:w="3408"/>
          </w:tcPr>
          <w:p>
            <w:r>
              <w:t>Know who and what you're dealing with.</w:t>
            </w:r>
          </w:p>
        </w:tc>
        <w:tc>
          <w:tcPr>
            <w:tcW w:type="dxa" w:w="3408"/>
          </w:tcPr>
          <w:p>
            <w:r>
              <w:t>Explore ASOJU Verify →</w:t>
            </w:r>
          </w:p>
        </w:tc>
      </w:tr>
      <w:tr>
        <w:tc>
          <w:tcPr>
            <w:tcW w:type="dxa" w:w="3408"/>
          </w:tcPr>
          <w:p>
            <w:r>
              <w:t>ASOJU Assist</w:t>
            </w:r>
          </w:p>
        </w:tc>
        <w:tc>
          <w:tcPr>
            <w:tcW w:type="dxa" w:w="3408"/>
          </w:tcPr>
          <w:p>
            <w:r>
              <w:t>When something needs to be done in Nigeria, ASOJU can handle it for you.</w:t>
            </w:r>
          </w:p>
        </w:tc>
        <w:tc>
          <w:tcPr>
            <w:tcW w:type="dxa" w:w="3408"/>
          </w:tcPr>
          <w:p>
            <w:r>
              <w:t>Explore ASOJU Assist →</w:t>
            </w:r>
          </w:p>
        </w:tc>
      </w:tr>
    </w:tbl>
    <w:p>
      <w:pPr>
        <w:pStyle w:val="Heading2"/>
      </w:pPr>
      <w:r>
        <w:t>6.2 Service card engineering behavior</w:t>
      </w:r>
    </w:p>
    <w:p>
      <w:pPr>
        <w:pStyle w:val="ListBullet"/>
      </w:pPr>
      <w:r>
        <w:t>Cards are links to dedicated service landing/detail pages or a filtered Concierge/request state, depending on the existing route architecture.</w:t>
      </w:r>
    </w:p>
    <w:p>
      <w:pPr>
        <w:pStyle w:val="ListBullet"/>
      </w:pPr>
      <w:r>
        <w:t>Do not expose internal backend service names in the public card labels.</w:t>
      </w:r>
    </w:p>
    <w:p>
      <w:pPr>
        <w:pStyle w:val="ListBullet"/>
      </w:pPr>
      <w:r>
        <w:t>Each card must support keyboard focus, hover/focus state, mobile tap state and loading navigation feedback.</w:t>
      </w:r>
    </w:p>
    <w:p>
      <w:pPr>
        <w:pStyle w:val="ListBullet"/>
      </w:pPr>
      <w:r>
        <w:t>Service content must map back to the six locked customer-facing families while backend service types remain internal taxonomy.</w:t>
      </w:r>
    </w:p>
    <w:p>
      <w:pPr>
        <w:pStyle w:val="Heading1"/>
      </w:pPr>
      <w:r>
        <w:t>7. The representation problem</w:t>
      </w:r>
    </w:p>
    <w:p>
      <w:r>
        <w:t>Headline: “Distance shouldn't mean losing control.”</w:t>
      </w:r>
    </w:p>
    <w:p>
      <w:r>
        <w:t>Show a simple visual narrative: You are abroad → Something needs to happen in Nigeria → ASOJU understands what you need → A trusted person handles it → You receive updates and evidence → You stay informed and in control.</w:t>
      </w:r>
    </w:p>
    <w:p>
      <w:r>
        <w:t>This section explains ASOJU as a representation/accountability platform rather than merely a service marketplace.</w:t>
      </w:r>
    </w:p>
    <w:p>
      <w:pPr>
        <w:pStyle w:val="Heading1"/>
      </w:pPr>
      <w:r>
        <w:t>8. How ASOJU works</w:t>
      </w:r>
    </w:p>
    <w:p>
      <w:r>
        <w:t>Headline: “From ‘I need someone to handle this’ to ‘It's done.’”</w:t>
      </w:r>
    </w:p>
    <w:tbl>
      <w:tblPr>
        <w:tblStyle w:val="TableGrid"/>
        <w:tblW w:type="auto" w:w="0"/>
        <w:tblLook w:firstColumn="1" w:firstRow="1" w:lastColumn="0" w:lastRow="0" w:noHBand="0" w:noVBand="1" w:val="04A0"/>
      </w:tblPr>
      <w:tblGrid>
        <w:gridCol w:w="5112"/>
        <w:gridCol w:w="5112"/>
      </w:tblGrid>
      <w:tr>
        <w:tc>
          <w:tcPr>
            <w:tcW w:type="dxa" w:w="5112"/>
          </w:tcPr>
          <w:p>
            <w:r>
              <w:t>Step</w:t>
            </w:r>
          </w:p>
        </w:tc>
        <w:tc>
          <w:tcPr>
            <w:tcW w:type="dxa" w:w="5112"/>
          </w:tcPr>
          <w:p>
            <w:r>
              <w:t>Customer experience</w:t>
            </w:r>
          </w:p>
        </w:tc>
      </w:tr>
      <w:tr>
        <w:tc>
          <w:tcPr>
            <w:tcW w:type="dxa" w:w="5112"/>
          </w:tcPr>
          <w:p>
            <w:r>
              <w:t>1 — Tell us</w:t>
            </w:r>
          </w:p>
        </w:tc>
        <w:tc>
          <w:tcPr>
            <w:tcW w:type="dxa" w:w="5112"/>
          </w:tcPr>
          <w:p>
            <w:r>
              <w:t>Describe what you need through the ASOJU Concierge.</w:t>
            </w:r>
          </w:p>
        </w:tc>
      </w:tr>
      <w:tr>
        <w:tc>
          <w:tcPr>
            <w:tcW w:type="dxa" w:w="5112"/>
          </w:tcPr>
          <w:p>
            <w:r>
              <w:t>2 — Define it</w:t>
            </w:r>
          </w:p>
        </w:tc>
        <w:tc>
          <w:tcPr>
            <w:tcW w:type="dxa" w:w="5112"/>
          </w:tcPr>
          <w:p>
            <w:r>
              <w:t>ASOJU clarifies the request, scope and requirements.</w:t>
            </w:r>
          </w:p>
        </w:tc>
      </w:tr>
      <w:tr>
        <w:tc>
          <w:tcPr>
            <w:tcW w:type="dxa" w:w="5112"/>
          </w:tcPr>
          <w:p>
            <w:r>
              <w:t>3 — We handle it</w:t>
            </w:r>
          </w:p>
        </w:tc>
        <w:tc>
          <w:tcPr>
            <w:tcW w:type="dxa" w:w="5112"/>
          </w:tcPr>
          <w:p>
            <w:r>
              <w:t>The right people execute the work on the ground.</w:t>
            </w:r>
          </w:p>
        </w:tc>
      </w:tr>
      <w:tr>
        <w:tc>
          <w:tcPr>
            <w:tcW w:type="dxa" w:w="5112"/>
          </w:tcPr>
          <w:p>
            <w:r>
              <w:t>4 — You see what happened</w:t>
            </w:r>
          </w:p>
        </w:tc>
        <w:tc>
          <w:tcPr>
            <w:tcW w:type="dxa" w:w="5112"/>
          </w:tcPr>
          <w:p>
            <w:r>
              <w:t>Receive updates, evidence and the completed report where applicable.</w:t>
            </w:r>
          </w:p>
        </w:tc>
      </w:tr>
    </w:tbl>
    <w:p>
      <w:r>
        <w:t>CTA: Start a Request →</w:t>
      </w:r>
    </w:p>
    <w:p>
      <w:pPr>
        <w:pStyle w:val="Heading1"/>
      </w:pPr>
      <w:r>
        <w:t>9. Why ASOJU</w:t>
      </w:r>
    </w:p>
    <w:p>
      <w:r>
        <w:t>Headline: “Because important things deserve more than ‘I'll check on it.’”</w:t>
      </w:r>
    </w:p>
    <w:tbl>
      <w:tblPr>
        <w:tblStyle w:val="TableGrid"/>
        <w:tblW w:type="auto" w:w="0"/>
        <w:tblLook w:firstColumn="1" w:firstRow="1" w:lastColumn="0" w:lastRow="0" w:noHBand="0" w:noVBand="1" w:val="04A0"/>
      </w:tblPr>
      <w:tblGrid>
        <w:gridCol w:w="5112"/>
        <w:gridCol w:w="5112"/>
      </w:tblGrid>
      <w:tr>
        <w:tc>
          <w:tcPr>
            <w:tcW w:type="dxa" w:w="5112"/>
          </w:tcPr>
          <w:p>
            <w:r>
              <w:t>Pillar</w:t>
            </w:r>
          </w:p>
        </w:tc>
        <w:tc>
          <w:tcPr>
            <w:tcW w:type="dxa" w:w="5112"/>
          </w:tcPr>
          <w:p>
            <w:r>
              <w:t>Message</w:t>
            </w:r>
          </w:p>
        </w:tc>
      </w:tr>
      <w:tr>
        <w:tc>
          <w:tcPr>
            <w:tcW w:type="dxa" w:w="5112"/>
          </w:tcPr>
          <w:p>
            <w:r>
              <w:t>Trusted Representation</w:t>
            </w:r>
          </w:p>
        </w:tc>
        <w:tc>
          <w:tcPr>
            <w:tcW w:type="dxa" w:w="5112"/>
          </w:tcPr>
          <w:p>
            <w:r>
              <w:t>Someone accountable is handling the matter on the ground.</w:t>
            </w:r>
          </w:p>
        </w:tc>
      </w:tr>
      <w:tr>
        <w:tc>
          <w:tcPr>
            <w:tcW w:type="dxa" w:w="5112"/>
          </w:tcPr>
          <w:p>
            <w:r>
              <w:t>Evidence &amp; Visibility</w:t>
            </w:r>
          </w:p>
        </w:tc>
        <w:tc>
          <w:tcPr>
            <w:tcW w:type="dxa" w:w="5112"/>
          </w:tcPr>
          <w:p>
            <w:r>
              <w:t>You don't have to rely on vague updates.</w:t>
            </w:r>
          </w:p>
        </w:tc>
      </w:tr>
      <w:tr>
        <w:tc>
          <w:tcPr>
            <w:tcW w:type="dxa" w:w="5112"/>
          </w:tcPr>
          <w:p>
            <w:r>
              <w:t>Clear Scope &amp; Costs</w:t>
            </w:r>
          </w:p>
        </w:tc>
        <w:tc>
          <w:tcPr>
            <w:tcW w:type="dxa" w:w="5112"/>
          </w:tcPr>
          <w:p>
            <w:r>
              <w:t>You know what is being handled and what you're paying for.</w:t>
            </w:r>
          </w:p>
        </w:tc>
      </w:tr>
      <w:tr>
        <w:tc>
          <w:tcPr>
            <w:tcW w:type="dxa" w:w="5112"/>
          </w:tcPr>
          <w:p>
            <w:r>
              <w:t>Accountability</w:t>
            </w:r>
          </w:p>
        </w:tc>
        <w:tc>
          <w:tcPr>
            <w:tcW w:type="dxa" w:w="5112"/>
          </w:tcPr>
          <w:p>
            <w:r>
              <w:t>The work moves through a controlled process rather than informal handoffs.</w:t>
            </w:r>
          </w:p>
        </w:tc>
      </w:tr>
    </w:tbl>
    <w:p>
      <w:pPr>
        <w:pStyle w:val="Heading1"/>
      </w:pPr>
      <w:r>
        <w:t>10. Trust / proof</w:t>
      </w:r>
    </w:p>
    <w:p>
      <w:r>
        <w:t>Headline: “You don't have to take our word for it.”</w:t>
      </w:r>
    </w:p>
    <w:p>
      <w:pPr>
        <w:pStyle w:val="ListBullet"/>
      </w:pPr>
      <w:r>
        <w:t>Once real customer proof exists, display approved completed-case counts, aggregate rating, customer stories and verified outcomes.</w:t>
      </w:r>
    </w:p>
    <w:p>
      <w:pPr>
        <w:pStyle w:val="ListBullet"/>
      </w:pPr>
      <w:r>
        <w:t>Only approved, anonymized proof should be public.</w:t>
      </w:r>
    </w:p>
    <w:p>
      <w:pPr>
        <w:pStyle w:val="ListBullet"/>
      </w:pPr>
      <w:r>
        <w:t>Do not invent customer counts, ratings, testimonials or case outcomes.</w:t>
      </w:r>
    </w:p>
    <w:p>
      <w:pPr>
        <w:pStyle w:val="ListBullet"/>
      </w:pPr>
      <w:r>
        <w:t>Until sufficient real proof exists, use the trust proposition rather than manufactured statistics.</w:t>
      </w:r>
    </w:p>
    <w:p>
      <w:pPr>
        <w:pStyle w:val="Heading1"/>
      </w:pPr>
      <w:r>
        <w:t>11. Diaspora connection</w:t>
      </w:r>
    </w:p>
    <w:p>
      <w:r>
        <w:t>Headline: “You may live abroad. Your responsibilities don't.”</w:t>
      </w:r>
    </w:p>
    <w:p>
      <w:r>
        <w:t>Supporting message: “Your family, property, projects and important decisions are still happening in Nigeria. ASOJU gives you a trusted way to stay represented, informed and involved — without having to be physically present for everything.”</w:t>
      </w:r>
    </w:p>
    <w:p>
      <w:r>
        <w:t>CTA: See How ASOJU Can Help →</w:t>
      </w:r>
    </w:p>
    <w:p>
      <w:pPr>
        <w:pStyle w:val="Heading1"/>
      </w:pPr>
      <w:r>
        <w:t>12. Final Concierge CTA</w:t>
      </w:r>
    </w:p>
    <w:p>
      <w:r>
        <w:t>Before the footer, repeat the primary conversion:</w:t>
      </w:r>
    </w:p>
    <w:p>
      <w:r>
        <w:t>“Something needs to be handled in Nigeria?”</w:t>
      </w:r>
    </w:p>
    <w:p>
      <w:r>
        <w:t>“Tell ASOJU what you need.”</w:t>
      </w:r>
    </w:p>
    <w:p>
      <w:r>
        <w:t>CTA: Start with the ASOJU Concierge →</w:t>
      </w:r>
    </w:p>
    <w:p>
      <w:r>
        <w:t>No sign-in is required to start the conversation. Authentication is required before formal case creation and quote/payment progression.</w:t>
      </w:r>
    </w:p>
    <w:p>
      <w:pPr>
        <w:pStyle w:val="Heading1"/>
      </w:pPr>
      <w:r>
        <w:t>13. Footer</w:t>
      </w:r>
    </w:p>
    <w:tbl>
      <w:tblPr>
        <w:tblStyle w:val="TableGrid"/>
        <w:tblW w:type="auto" w:w="0"/>
        <w:tblLook w:firstColumn="1" w:firstRow="1" w:lastColumn="0" w:lastRow="0" w:noHBand="0" w:noVBand="1" w:val="04A0"/>
      </w:tblPr>
      <w:tblGrid>
        <w:gridCol w:w="5112"/>
        <w:gridCol w:w="5112"/>
      </w:tblGrid>
      <w:tr>
        <w:tc>
          <w:tcPr>
            <w:tcW w:type="dxa" w:w="5112"/>
          </w:tcPr>
          <w:p>
            <w:r>
              <w:t>Column</w:t>
            </w:r>
          </w:p>
        </w:tc>
        <w:tc>
          <w:tcPr>
            <w:tcW w:type="dxa" w:w="5112"/>
          </w:tcPr>
          <w:p>
            <w:r>
              <w:t>Links</w:t>
            </w:r>
          </w:p>
        </w:tc>
      </w:tr>
      <w:tr>
        <w:tc>
          <w:tcPr>
            <w:tcW w:type="dxa" w:w="5112"/>
          </w:tcPr>
          <w:p>
            <w:r>
              <w:t>Services</w:t>
            </w:r>
          </w:p>
        </w:tc>
        <w:tc>
          <w:tcPr>
            <w:tcW w:type="dxa" w:w="5112"/>
          </w:tcPr>
          <w:p>
            <w:r>
              <w:t>ASOJU Arrivals; ASOJU Inspect; ASOJU Build; ASOJU Care; ASOJU Verify; ASOJU Assist</w:t>
            </w:r>
          </w:p>
        </w:tc>
      </w:tr>
      <w:tr>
        <w:tc>
          <w:tcPr>
            <w:tcW w:type="dxa" w:w="5112"/>
          </w:tcPr>
          <w:p>
            <w:r>
              <w:t>Company</w:t>
            </w:r>
          </w:p>
        </w:tc>
        <w:tc>
          <w:tcPr>
            <w:tcW w:type="dxa" w:w="5112"/>
          </w:tcPr>
          <w:p>
            <w:r>
              <w:t>About ASOJU; How It Works; Why ASOJU; Trust; Resources; Contact</w:t>
            </w:r>
          </w:p>
        </w:tc>
      </w:tr>
      <w:tr>
        <w:tc>
          <w:tcPr>
            <w:tcW w:type="dxa" w:w="5112"/>
          </w:tcPr>
          <w:p>
            <w:r>
              <w:t>Customer</w:t>
            </w:r>
          </w:p>
        </w:tc>
        <w:tc>
          <w:tcPr>
            <w:tcW w:type="dxa" w:w="5112"/>
          </w:tcPr>
          <w:p>
            <w:r>
              <w:t>Sign In; Create Account; My Cases; Referrals; Membership</w:t>
            </w:r>
          </w:p>
        </w:tc>
      </w:tr>
      <w:tr>
        <w:tc>
          <w:tcPr>
            <w:tcW w:type="dxa" w:w="5112"/>
          </w:tcPr>
          <w:p>
            <w:r>
              <w:t>Support</w:t>
            </w:r>
          </w:p>
        </w:tc>
        <w:tc>
          <w:tcPr>
            <w:tcW w:type="dxa" w:w="5112"/>
          </w:tcPr>
          <w:p>
            <w:r>
              <w:t>Help; Privacy; Terms; Security</w:t>
            </w:r>
          </w:p>
        </w:tc>
      </w:tr>
    </w:tbl>
    <w:p>
      <w:pPr>
        <w:pStyle w:val="Heading1"/>
      </w:pPr>
      <w:r>
        <w:t>14. Responsive specification</w:t>
      </w:r>
    </w:p>
    <w:tbl>
      <w:tblPr>
        <w:tblStyle w:val="TableGrid"/>
        <w:tblW w:type="auto" w:w="0"/>
        <w:tblLook w:firstColumn="1" w:firstRow="1" w:lastColumn="0" w:lastRow="0" w:noHBand="0" w:noVBand="1" w:val="04A0"/>
      </w:tblPr>
      <w:tblGrid>
        <w:gridCol w:w="5112"/>
        <w:gridCol w:w="5112"/>
      </w:tblGrid>
      <w:tr>
        <w:tc>
          <w:tcPr>
            <w:tcW w:type="dxa" w:w="5112"/>
          </w:tcPr>
          <w:p>
            <w:r>
              <w:t>Surface</w:t>
            </w:r>
          </w:p>
        </w:tc>
        <w:tc>
          <w:tcPr>
            <w:tcW w:type="dxa" w:w="5112"/>
          </w:tcPr>
          <w:p>
            <w:r>
              <w:t>Requirement</w:t>
            </w:r>
          </w:p>
        </w:tc>
      </w:tr>
      <w:tr>
        <w:tc>
          <w:tcPr>
            <w:tcW w:type="dxa" w:w="5112"/>
          </w:tcPr>
          <w:p>
            <w:r>
              <w:t>Desktop header</w:t>
            </w:r>
          </w:p>
        </w:tc>
        <w:tc>
          <w:tcPr>
            <w:tcW w:type="dxa" w:w="5112"/>
          </w:tcPr>
          <w:p>
            <w:r>
              <w:t>Full navigation; strong CTA; Concierge prominent in hero.</w:t>
            </w:r>
          </w:p>
        </w:tc>
      </w:tr>
      <w:tr>
        <w:tc>
          <w:tcPr>
            <w:tcW w:type="dxa" w:w="5112"/>
          </w:tcPr>
          <w:p>
            <w:r>
              <w:t>Tablet</w:t>
            </w:r>
          </w:p>
        </w:tc>
        <w:tc>
          <w:tcPr>
            <w:tcW w:type="dxa" w:w="5112"/>
          </w:tcPr>
          <w:p>
            <w:r>
              <w:t>Condensed navigation; hero remains primary; six services remain readable without excessive scrolling.</w:t>
            </w:r>
          </w:p>
        </w:tc>
      </w:tr>
      <w:tr>
        <w:tc>
          <w:tcPr>
            <w:tcW w:type="dxa" w:w="5112"/>
          </w:tcPr>
          <w:p>
            <w:r>
              <w:t>Mobile header</w:t>
            </w:r>
          </w:p>
        </w:tc>
        <w:tc>
          <w:tcPr>
            <w:tcW w:type="dxa" w:w="5112"/>
          </w:tcPr>
          <w:p>
            <w:r>
              <w:t>Menu trigger + logo + Get Started.</w:t>
            </w:r>
          </w:p>
        </w:tc>
      </w:tr>
      <w:tr>
        <w:tc>
          <w:tcPr>
            <w:tcW w:type="dxa" w:w="5112"/>
          </w:tcPr>
          <w:p>
            <w:r>
              <w:t>Mobile hero</w:t>
            </w:r>
          </w:p>
        </w:tc>
        <w:tc>
          <w:tcPr>
            <w:tcW w:type="dxa" w:w="5112"/>
          </w:tcPr>
          <w:p>
            <w:r>
              <w:t>Concierge input remains immediately usable; examples stack; CTA stays prominent.</w:t>
            </w:r>
          </w:p>
        </w:tc>
      </w:tr>
      <w:tr>
        <w:tc>
          <w:tcPr>
            <w:tcW w:type="dxa" w:w="5112"/>
          </w:tcPr>
          <w:p>
            <w:r>
              <w:t>Mobile services</w:t>
            </w:r>
          </w:p>
        </w:tc>
        <w:tc>
          <w:tcPr>
            <w:tcW w:type="dxa" w:w="5112"/>
          </w:tcPr>
          <w:p>
            <w:r>
              <w:t>Six cards become a single-column/compact list with clear tap targets.</w:t>
            </w:r>
          </w:p>
        </w:tc>
      </w:tr>
      <w:tr>
        <w:tc>
          <w:tcPr>
            <w:tcW w:type="dxa" w:w="5112"/>
          </w:tcPr>
          <w:p>
            <w:r>
              <w:t>Mobile sections</w:t>
            </w:r>
          </w:p>
        </w:tc>
        <w:tc>
          <w:tcPr>
            <w:tcW w:type="dxa" w:w="5112"/>
          </w:tcPr>
          <w:p>
            <w:r>
              <w:t>Avoid dense multi-column layouts; preserve story hierarchy.</w:t>
            </w:r>
          </w:p>
        </w:tc>
      </w:tr>
    </w:tbl>
    <w:p>
      <w:pPr>
        <w:pStyle w:val="Heading1"/>
      </w:pPr>
      <w:r>
        <w:t>15. Concierge component state machine</w:t>
      </w:r>
    </w:p>
    <w:tbl>
      <w:tblPr>
        <w:tblStyle w:val="TableGrid"/>
        <w:tblW w:type="auto" w:w="0"/>
        <w:tblLook w:firstColumn="1" w:firstRow="1" w:lastColumn="0" w:lastRow="0" w:noHBand="0" w:noVBand="1" w:val="04A0"/>
      </w:tblPr>
      <w:tblGrid>
        <w:gridCol w:w="5112"/>
        <w:gridCol w:w="5112"/>
      </w:tblGrid>
      <w:tr>
        <w:tc>
          <w:tcPr>
            <w:tcW w:type="dxa" w:w="5112"/>
          </w:tcPr>
          <w:p>
            <w:r>
              <w:t>State</w:t>
            </w:r>
          </w:p>
        </w:tc>
        <w:tc>
          <w:tcPr>
            <w:tcW w:type="dxa" w:w="5112"/>
          </w:tcPr>
          <w:p>
            <w:r>
              <w:t>UI requirement</w:t>
            </w:r>
          </w:p>
        </w:tc>
      </w:tr>
      <w:tr>
        <w:tc>
          <w:tcPr>
            <w:tcW w:type="dxa" w:w="5112"/>
          </w:tcPr>
          <w:p>
            <w:r>
              <w:t>Anonymous / idle</w:t>
            </w:r>
          </w:p>
        </w:tc>
        <w:tc>
          <w:tcPr>
            <w:tcW w:type="dxa" w:w="5112"/>
          </w:tcPr>
          <w:p>
            <w:r>
              <w:t>Prompt + example requests + Start action.</w:t>
            </w:r>
          </w:p>
        </w:tc>
      </w:tr>
      <w:tr>
        <w:tc>
          <w:tcPr>
            <w:tcW w:type="dxa" w:w="5112"/>
          </w:tcPr>
          <w:p>
            <w:r>
              <w:t>Anonymous / conversation</w:t>
            </w:r>
          </w:p>
        </w:tc>
        <w:tc>
          <w:tcPr>
            <w:tcW w:type="dxa" w:w="5112"/>
          </w:tcPr>
          <w:p>
            <w:r>
              <w:t>Messages + clarifying questions + draft request summary.</w:t>
            </w:r>
          </w:p>
        </w:tc>
      </w:tr>
      <w:tr>
        <w:tc>
          <w:tcPr>
            <w:tcW w:type="dxa" w:w="5112"/>
          </w:tcPr>
          <w:p>
            <w:r>
              <w:t>Anonymous / structured</w:t>
            </w:r>
          </w:p>
        </w:tc>
        <w:tc>
          <w:tcPr>
            <w:tcW w:type="dxa" w:w="5112"/>
          </w:tcPr>
          <w:p>
            <w:r>
              <w:t>Show request summary + clear “Continue to create request” action.</w:t>
            </w:r>
          </w:p>
        </w:tc>
      </w:tr>
      <w:tr>
        <w:tc>
          <w:tcPr>
            <w:tcW w:type="dxa" w:w="5112"/>
          </w:tcPr>
          <w:p>
            <w:r>
              <w:t>Authentication required</w:t>
            </w:r>
          </w:p>
        </w:tc>
        <w:tc>
          <w:tcPr>
            <w:tcW w:type="dxa" w:w="5112"/>
          </w:tcPr>
          <w:p>
            <w:r>
              <w:t>Explain sign-in/create-account gate and preserve draft.</w:t>
            </w:r>
          </w:p>
        </w:tc>
      </w:tr>
      <w:tr>
        <w:tc>
          <w:tcPr>
            <w:tcW w:type="dxa" w:w="5112"/>
          </w:tcPr>
          <w:p>
            <w:r>
              <w:t>Authenticated / ready</w:t>
            </w:r>
          </w:p>
        </w:tc>
        <w:tc>
          <w:tcPr>
            <w:tcW w:type="dxa" w:w="5112"/>
          </w:tcPr>
          <w:p>
            <w:r>
              <w:t>Create case action enabled after required validation.</w:t>
            </w:r>
          </w:p>
        </w:tc>
      </w:tr>
      <w:tr>
        <w:tc>
          <w:tcPr>
            <w:tcW w:type="dxa" w:w="5112"/>
          </w:tcPr>
          <w:p>
            <w:r>
              <w:t>Creating case</w:t>
            </w:r>
          </w:p>
        </w:tc>
        <w:tc>
          <w:tcPr>
            <w:tcW w:type="dxa" w:w="5112"/>
          </w:tcPr>
          <w:p>
            <w:r>
              <w:t>Authoritative loading state; prevent duplicate submission.</w:t>
            </w:r>
          </w:p>
        </w:tc>
      </w:tr>
      <w:tr>
        <w:tc>
          <w:tcPr>
            <w:tcW w:type="dxa" w:w="5112"/>
          </w:tcPr>
          <w:p>
            <w:r>
              <w:t>Case created</w:t>
            </w:r>
          </w:p>
        </w:tc>
        <w:tc>
          <w:tcPr>
            <w:tcW w:type="dxa" w:w="5112"/>
          </w:tcPr>
          <w:p>
            <w:r>
              <w:t>Route to case detail/next formal workflow state.</w:t>
            </w:r>
          </w:p>
        </w:tc>
      </w:tr>
      <w:tr>
        <w:tc>
          <w:tcPr>
            <w:tcW w:type="dxa" w:w="5112"/>
          </w:tcPr>
          <w:p>
            <w:r>
              <w:t>AI unavailable</w:t>
            </w:r>
          </w:p>
        </w:tc>
        <w:tc>
          <w:tcPr>
            <w:tcW w:type="dxa" w:w="5112"/>
          </w:tcPr>
          <w:p>
            <w:r>
              <w:t>Safe fallback message and alternative contact/request path; never fabricate.</w:t>
            </w:r>
          </w:p>
        </w:tc>
      </w:tr>
      <w:tr>
        <w:tc>
          <w:tcPr>
            <w:tcW w:type="dxa" w:w="5112"/>
          </w:tcPr>
          <w:p>
            <w:r>
              <w:t>Network failure</w:t>
            </w:r>
          </w:p>
        </w:tc>
        <w:tc>
          <w:tcPr>
            <w:tcW w:type="dxa" w:w="5112"/>
          </w:tcPr>
          <w:p>
            <w:r>
              <w:t>Retry without duplicate submission; preserve safe draft.</w:t>
            </w:r>
          </w:p>
        </w:tc>
      </w:tr>
    </w:tbl>
    <w:p>
      <w:pPr>
        <w:pStyle w:val="Heading1"/>
      </w:pPr>
      <w:r>
        <w:t>16. Front-end engineering requirements</w:t>
      </w:r>
    </w:p>
    <w:p>
      <w:pPr>
        <w:pStyle w:val="ListBullet"/>
      </w:pPr>
      <w:r>
        <w:t>Implement the Concierge as a first-class homepage component, not merely a link to another page.</w:t>
      </w:r>
    </w:p>
    <w:p>
      <w:pPr>
        <w:pStyle w:val="ListBullet"/>
      </w:pPr>
      <w:r>
        <w:t>Anonymous conversation state must be isolated from authenticated customer data until account creation/case creation is authorized.</w:t>
      </w:r>
    </w:p>
    <w:p>
      <w:pPr>
        <w:pStyle w:val="ListBullet"/>
      </w:pPr>
      <w:r>
        <w:t>Persist only the minimum safe draft necessary to complete the authentication handoff.</w:t>
      </w:r>
    </w:p>
    <w:p>
      <w:pPr>
        <w:pStyle w:val="ListBullet"/>
      </w:pPr>
      <w:r>
        <w:t>Use typed backend contracts and server-authoritative state.</w:t>
      </w:r>
    </w:p>
    <w:p>
      <w:pPr>
        <w:pStyle w:val="ListBullet"/>
      </w:pPr>
      <w:r>
        <w:t>Do not calculate authoritative quotes, payment states or case permissions in the browser.</w:t>
      </w:r>
    </w:p>
    <w:p>
      <w:pPr>
        <w:pStyle w:val="ListBullet"/>
      </w:pPr>
      <w:r>
        <w:t>Use explicit loading/error/retry states for every Concierge mutation.</w:t>
      </w:r>
    </w:p>
    <w:p>
      <w:pPr>
        <w:pStyle w:val="ListBullet"/>
      </w:pPr>
      <w:r>
        <w:t>Prevent duplicate case creation through backend-supported idempotency and frontend action locking.</w:t>
      </w:r>
    </w:p>
    <w:p>
      <w:pPr>
        <w:pStyle w:val="ListBullet"/>
      </w:pPr>
      <w:r>
        <w:t>Preserve accessibility: labels, focus, keyboard navigation, mobile touch targets and screen-reader state announcements.</w:t>
      </w:r>
    </w:p>
    <w:p>
      <w:pPr>
        <w:pStyle w:val="ListBullet"/>
      </w:pPr>
      <w:r>
        <w:t>Track analytics events for homepage view, Concierge open, first message, structured request reached, authentication gate reached, sign-in success, account creation success and case creation success, subject to the project's privacy/consent requirements.</w:t>
      </w:r>
    </w:p>
    <w:p>
      <w:pPr>
        <w:pStyle w:val="Heading1"/>
      </w:pPr>
      <w:r>
        <w:t>17. Homepage performance and polish</w:t>
      </w:r>
    </w:p>
    <w:p>
      <w:pPr>
        <w:pStyle w:val="ListBullet"/>
      </w:pPr>
      <w:r>
        <w:t>Hero content should render quickly and remain visually stable.</w:t>
      </w:r>
    </w:p>
    <w:p>
      <w:pPr>
        <w:pStyle w:val="ListBullet"/>
      </w:pPr>
      <w:r>
        <w:t>Lazy-load below-the-fold media; do not delay the Concierge behind non-critical assets.</w:t>
      </w:r>
    </w:p>
    <w:p>
      <w:pPr>
        <w:pStyle w:val="ListBullet"/>
      </w:pPr>
      <w:r>
        <w:t>Use responsive images and avoid layout shift.</w:t>
      </w:r>
    </w:p>
    <w:p>
      <w:pPr>
        <w:pStyle w:val="ListBullet"/>
      </w:pPr>
      <w:r>
        <w:t>Keep animations subtle and purposeful; never block the request flow.</w:t>
      </w:r>
    </w:p>
    <w:p>
      <w:pPr>
        <w:pStyle w:val="ListBullet"/>
      </w:pPr>
      <w:r>
        <w:t>Use consistent spacing, typography, card geometry, CTA hierarchy and status semantics from the ASOJU design system.</w:t>
      </w:r>
    </w:p>
    <w:p>
      <w:pPr>
        <w:pStyle w:val="ListBullet"/>
      </w:pPr>
      <w:r>
        <w:t>Test real desktop and mobile devices, not only browser resizing.</w:t>
      </w:r>
    </w:p>
    <w:p>
      <w:pPr>
        <w:pStyle w:val="Heading1"/>
      </w:pPr>
      <w:r>
        <w:t>18. Acceptance criteria</w:t>
      </w:r>
    </w:p>
    <w:p>
      <w:pPr>
        <w:pStyle w:val="ListBullet"/>
      </w:pPr>
      <w:r>
        <w:t>A first-time visitor can understand ASOJU's purpose without reading the whole page.</w:t>
      </w:r>
    </w:p>
    <w:p>
      <w:pPr>
        <w:pStyle w:val="ListBullet"/>
      </w:pPr>
      <w:r>
        <w:t>The six service families are visible and consistently named.</w:t>
      </w:r>
    </w:p>
    <w:p>
      <w:pPr>
        <w:pStyle w:val="ListBullet"/>
      </w:pPr>
      <w:r>
        <w:t>The AI Concierge is the dominant hero interaction.</w:t>
      </w:r>
    </w:p>
    <w:p>
      <w:pPr>
        <w:pStyle w:val="ListBullet"/>
      </w:pPr>
      <w:r>
        <w:t>A visitor can start the Concierge without signing in.</w:t>
      </w:r>
    </w:p>
    <w:p>
      <w:pPr>
        <w:pStyle w:val="ListBullet"/>
      </w:pPr>
      <w:r>
        <w:t>The visitor is not asked to create an account before receiving value from the Concierge.</w:t>
      </w:r>
    </w:p>
    <w:p>
      <w:pPr>
        <w:pStyle w:val="ListBullet"/>
      </w:pPr>
      <w:r>
        <w:t>Formal case creation requires authentication.</w:t>
      </w:r>
    </w:p>
    <w:p>
      <w:pPr>
        <w:pStyle w:val="ListBullet"/>
      </w:pPr>
      <w:r>
        <w:t>After authentication, the visitor returns to the prepared request rather than restarting.</w:t>
      </w:r>
    </w:p>
    <w:p>
      <w:pPr>
        <w:pStyle w:val="ListBullet"/>
      </w:pPr>
      <w:r>
        <w:t>Quote/payment progression occurs only after a formal authenticated case exists.</w:t>
      </w:r>
    </w:p>
    <w:p>
      <w:pPr>
        <w:pStyle w:val="ListBullet"/>
      </w:pPr>
      <w:r>
        <w:t>Homepage contains clear trust, representation, process and proof sections.</w:t>
      </w:r>
    </w:p>
    <w:p>
      <w:pPr>
        <w:pStyle w:val="ListBullet"/>
      </w:pPr>
      <w:r>
        <w:t>No unsupported performance numbers or fabricated testimonials appear.</w:t>
      </w:r>
    </w:p>
    <w:p>
      <w:pPr>
        <w:pStyle w:val="ListBullet"/>
      </w:pPr>
      <w:r>
        <w:t>All major states have loading, empty/error/offline/permission behavior as applicable.</w:t>
      </w:r>
    </w:p>
    <w:p>
      <w:pPr>
        <w:pStyle w:val="ListBullet"/>
      </w:pPr>
      <w:r>
        <w:t>Responsive, accessibility and visual QA pass before release.</w:t>
      </w:r>
    </w:p>
    <w:p>
      <w:pPr>
        <w:pStyle w:val="Heading1"/>
      </w:pPr>
      <w:r>
        <w:t>19. Developer implementation sequence</w:t>
      </w:r>
    </w:p>
    <w:p>
      <w:pPr>
        <w:pStyle w:val="ListBullet"/>
      </w:pPr>
      <w:r>
        <w:t>1. Map current Next.js routes/components to this locked homepage architecture.</w:t>
      </w:r>
    </w:p>
    <w:p>
      <w:pPr>
        <w:pStyle w:val="ListBullet"/>
      </w:pPr>
      <w:r>
        <w:t>2. Confirm or create the six service landing routes.</w:t>
      </w:r>
    </w:p>
    <w:p>
      <w:pPr>
        <w:pStyle w:val="ListBullet"/>
      </w:pPr>
      <w:r>
        <w:t>3. Implement/upgrade the shared header and footer.</w:t>
      </w:r>
    </w:p>
    <w:p>
      <w:pPr>
        <w:pStyle w:val="ListBullet"/>
      </w:pPr>
      <w:r>
        <w:t>4. Build the hero + anonymous Concierge interaction.</w:t>
      </w:r>
    </w:p>
    <w:p>
      <w:pPr>
        <w:pStyle w:val="ListBullet"/>
      </w:pPr>
      <w:r>
        <w:t>5. Implement authentication handoff and request-draft preservation.</w:t>
      </w:r>
    </w:p>
    <w:p>
      <w:pPr>
        <w:pStyle w:val="ListBullet"/>
      </w:pPr>
      <w:r>
        <w:t>6. Build six service cards and service navigation.</w:t>
      </w:r>
    </w:p>
    <w:p>
      <w:pPr>
        <w:pStyle w:val="ListBullet"/>
      </w:pPr>
      <w:r>
        <w:t>7. Implement representation, How It Works, Why ASOJU and diaspora sections.</w:t>
      </w:r>
    </w:p>
    <w:p>
      <w:pPr>
        <w:pStyle w:val="ListBullet"/>
      </w:pPr>
      <w:r>
        <w:t>8. Connect the trust/proof section to approved backend/public data only.</w:t>
      </w:r>
    </w:p>
    <w:p>
      <w:pPr>
        <w:pStyle w:val="ListBullet"/>
      </w:pPr>
      <w:r>
        <w:t>9. Add final Concierge CTA.</w:t>
      </w:r>
    </w:p>
    <w:p>
      <w:pPr>
        <w:pStyle w:val="ListBullet"/>
      </w:pPr>
      <w:r>
        <w:t>10. Run responsive, accessibility, performance, visual and E2E QA.</w:t>
      </w:r>
    </w:p>
    <w:p>
      <w:pPr>
        <w:pStyle w:val="ListBullet"/>
      </w:pPr>
      <w:r>
        <w:t>11. Document the final route/component/API mapping in the repository.</w:t>
      </w:r>
    </w:p>
    <w:p>
      <w:pPr>
        <w:pStyle w:val="Heading1"/>
      </w:pPr>
      <w:r>
        <w:t>20. Product boundary</w:t>
      </w:r>
    </w:p>
    <w:p>
      <w:r>
        <w:t>This specification locks the homepage presentation and interaction model. It does not replace the underlying ASOJU case engine, backend authorization, payment, QC, evidence or operational rules. Those remain authoritative in the existing platform architecture.</w:t>
      </w:r>
    </w:p>
    <w:p>
      <w:r>
        <w:t>Primary source basis: ASOJU build documentation and the previously locked six-service architecture. Exact route names, API endpoints and existing component names must be taken from the current repository during implementation.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