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MESSAGING</w:t>
        <w:br/>
        <w:t>&amp; VERBAL IDENTITY GUIDE</w:t>
      </w:r>
    </w:p>
    <w:p>
      <w:pPr>
        <w:jc w:val="center"/>
      </w:pPr>
      <w:r>
        <w:rPr>
          <w:b/>
        </w:rPr>
        <w:t>Version 1.0 | Messaging Foundation</w:t>
      </w:r>
    </w:p>
    <w:p>
      <w:r>
        <w:rPr>
          <w:b w:val="0"/>
        </w:rPr>
        <w:t>Brand: ASOJU</w:t>
      </w:r>
    </w:p>
    <w:p>
      <w:r>
        <w:rPr>
          <w:b w:val="0"/>
        </w:rPr>
        <w:t>Primary tagline: Your Trusted Rep Back Home.</w:t>
      </w:r>
    </w:p>
    <w:p>
      <w:r>
        <w:rPr>
          <w:b w:val="0"/>
        </w:rPr>
        <w:t>Brand territory: Representation from a distance.</w:t>
      </w:r>
    </w:p>
    <w:p>
      <w:r>
        <w:rPr>
          <w:b w:val="0"/>
        </w:rPr>
        <w:t>Core association: The platform that helps and supports people abroad to have their families and important responsibilities well represented in Nigeria.</w:t>
      </w:r>
    </w:p>
    <w:p>
      <w:r>
        <w:rPr>
          <w:b w:val="0"/>
        </w:rPr>
        <w:t>Purpose: create a consistent verbal system so ASOJU sounds like one trusted brand across website, product, sales, customer support, social media, partnerships and campaigns.</w:t>
      </w:r>
    </w:p>
    <w:p>
      <w:pPr>
        <w:pStyle w:val="Heading1"/>
      </w:pPr>
      <w:r>
        <w:t>1. Verbal Identity North Star</w:t>
      </w:r>
    </w:p>
    <w:p>
      <w:r>
        <w:rPr>
          <w:b/>
        </w:rPr>
        <w:t>Every piece of ASOJU communication should reinforce one mental association:</w:t>
      </w:r>
    </w:p>
    <w:p>
      <w:r>
        <w:rPr>
          <w:b w:val="0"/>
        </w:rPr>
        <w:t>“ASOJU is the trusted way for me to be represented back home when I cannot be there myself.”</w:t>
      </w:r>
    </w:p>
    <w:p>
      <w:r>
        <w:rPr>
          <w:b w:val="0"/>
        </w:rPr>
        <w:t>The communication should make distance feel smaller, not make the customer feel guilty about being away.</w:t>
      </w:r>
    </w:p>
    <w:p>
      <w:pPr>
        <w:pStyle w:val="Heading1"/>
      </w:pPr>
      <w:r>
        <w:t>2. Master Message</w:t>
      </w:r>
    </w:p>
    <w:p>
      <w:r>
        <w:rPr>
          <w:b/>
        </w:rPr>
        <w:t>ASOJU helps people living abroad confidently support their families and manage important responsibilities in Nigeria through trusted local representation, clear execution, evidence and accountability.</w:t>
      </w:r>
    </w:p>
    <w:p>
      <w:pPr>
        <w:pStyle w:val="Heading1"/>
      </w:pPr>
      <w:r>
        <w:t>3. Primary Tagline</w:t>
      </w:r>
    </w:p>
    <w:p>
      <w:r>
        <w:rPr>
          <w:b/>
        </w:rPr>
        <w:t>YOUR TRUSTED REP BACK HOME.</w:t>
      </w:r>
    </w:p>
    <w:p>
      <w:r>
        <w:rPr>
          <w:b w:val="0"/>
        </w:rPr>
        <w:t>This is the master memory device. Supporting messages should explain and strengthen it, not compete with it.</w:t>
      </w:r>
    </w:p>
    <w:p>
      <w:pPr>
        <w:pStyle w:val="Heading1"/>
      </w:pPr>
      <w:r>
        <w:t>4. Supporting Message System</w:t>
      </w:r>
    </w:p>
    <w:tbl>
      <w:tblPr>
        <w:tblStyle w:val="TableGrid"/>
        <w:tblW w:type="auto" w:w="0"/>
        <w:jc w:val="center"/>
        <w:tblLook w:firstColumn="1" w:firstRow="1" w:lastColumn="0" w:lastRow="0" w:noHBand="0" w:noVBand="1" w:val="04A0"/>
      </w:tblPr>
      <w:tblGrid>
        <w:gridCol w:w="5112"/>
        <w:gridCol w:w="5112"/>
      </w:tblGrid>
      <w:tr>
        <w:tc>
          <w:tcPr>
            <w:tcW w:type="dxa" w:w="5112"/>
          </w:tcPr>
          <w:p>
            <w:r>
              <w:t>Message Layer</w:t>
            </w:r>
          </w:p>
        </w:tc>
        <w:tc>
          <w:tcPr>
            <w:tcW w:type="dxa" w:w="5112"/>
          </w:tcPr>
          <w:p>
            <w:r>
              <w:t>Recommended Language</w:t>
            </w:r>
          </w:p>
        </w:tc>
      </w:tr>
      <w:tr>
        <w:tc>
          <w:tcPr>
            <w:tcW w:type="dxa" w:w="5112"/>
          </w:tcPr>
          <w:p>
            <w:r>
              <w:t>Master</w:t>
            </w:r>
          </w:p>
        </w:tc>
        <w:tc>
          <w:tcPr>
            <w:tcW w:type="dxa" w:w="5112"/>
          </w:tcPr>
          <w:p>
            <w:r>
              <w:t>Your Trusted Rep Back Home.</w:t>
            </w:r>
          </w:p>
        </w:tc>
      </w:tr>
      <w:tr>
        <w:tc>
          <w:tcPr>
            <w:tcW w:type="dxa" w:w="5112"/>
          </w:tcPr>
          <w:p>
            <w:r>
              <w:t>Category</w:t>
            </w:r>
          </w:p>
        </w:tc>
        <w:tc>
          <w:tcPr>
            <w:tcW w:type="dxa" w:w="5112"/>
          </w:tcPr>
          <w:p>
            <w:r>
              <w:t>Trusted diaspora representation.</w:t>
            </w:r>
          </w:p>
        </w:tc>
      </w:tr>
      <w:tr>
        <w:tc>
          <w:tcPr>
            <w:tcW w:type="dxa" w:w="5112"/>
          </w:tcPr>
          <w:p>
            <w:r>
              <w:t>Emotional</w:t>
            </w:r>
          </w:p>
        </w:tc>
        <w:tc>
          <w:tcPr>
            <w:tcW w:type="dxa" w:w="5112"/>
          </w:tcPr>
          <w:p>
            <w:r>
              <w:t>Even when you can't be there, someone can be there for you.</w:t>
            </w:r>
          </w:p>
        </w:tc>
      </w:tr>
      <w:tr>
        <w:tc>
          <w:tcPr>
            <w:tcW w:type="dxa" w:w="5112"/>
          </w:tcPr>
          <w:p>
            <w:r>
              <w:t>Functional</w:t>
            </w:r>
          </w:p>
        </w:tc>
        <w:tc>
          <w:tcPr>
            <w:tcW w:type="dxa" w:w="5112"/>
          </w:tcPr>
          <w:p>
            <w:r>
              <w:t>We help you get important things handled, checked and supported back home.</w:t>
            </w:r>
          </w:p>
        </w:tc>
      </w:tr>
      <w:tr>
        <w:tc>
          <w:tcPr>
            <w:tcW w:type="dxa" w:w="5112"/>
          </w:tcPr>
          <w:p>
            <w:r>
              <w:t>Trust</w:t>
            </w:r>
          </w:p>
        </w:tc>
        <w:tc>
          <w:tcPr>
            <w:tcW w:type="dxa" w:w="5112"/>
          </w:tcPr>
          <w:p>
            <w:r>
              <w:t>Know what's happening. Know who is handling it. Know what was done.</w:t>
            </w:r>
          </w:p>
        </w:tc>
      </w:tr>
      <w:tr>
        <w:tc>
          <w:tcPr>
            <w:tcW w:type="dxa" w:w="5112"/>
          </w:tcPr>
          <w:p>
            <w:r>
              <w:t>Presence</w:t>
            </w:r>
          </w:p>
        </w:tc>
        <w:tc>
          <w:tcPr>
            <w:tcW w:type="dxa" w:w="5112"/>
          </w:tcPr>
          <w:p>
            <w:r>
              <w:t>Stay present for what matters, even from abroad.</w:t>
            </w:r>
          </w:p>
        </w:tc>
      </w:tr>
      <w:tr>
        <w:tc>
          <w:tcPr>
            <w:tcW w:type="dxa" w:w="5112"/>
          </w:tcPr>
          <w:p>
            <w:r>
              <w:t>Proof</w:t>
            </w:r>
          </w:p>
        </w:tc>
        <w:tc>
          <w:tcPr>
            <w:tcW w:type="dxa" w:w="5112"/>
          </w:tcPr>
          <w:p>
            <w:r>
              <w:t>Representation you can see, not just promises.</w:t>
            </w:r>
          </w:p>
        </w:tc>
      </w:tr>
      <w:tr>
        <w:tc>
          <w:tcPr>
            <w:tcW w:type="dxa" w:w="5112"/>
          </w:tcPr>
          <w:p>
            <w:r>
              <w:t>Outcome</w:t>
            </w:r>
          </w:p>
        </w:tc>
        <w:tc>
          <w:tcPr>
            <w:tcW w:type="dxa" w:w="5112"/>
          </w:tcPr>
          <w:p>
            <w:r>
              <w:t>Less uncertainty. More confidence about home.</w:t>
            </w:r>
          </w:p>
        </w:tc>
      </w:tr>
    </w:tbl>
    <w:p>
      <w:pPr>
        <w:pStyle w:val="Heading1"/>
      </w:pPr>
      <w:r>
        <w:t>5. One-Line Description</w:t>
      </w:r>
    </w:p>
    <w:p>
      <w:r>
        <w:rPr>
          <w:b/>
        </w:rPr>
        <w:t>ASOJU helps people abroad have trusted representation for their families, property and important responsibilities back home in Nigeria.</w:t>
      </w:r>
    </w:p>
    <w:p>
      <w:pPr>
        <w:pStyle w:val="Heading1"/>
      </w:pPr>
      <w:r>
        <w:t>6. Short Elevator Pitch</w:t>
      </w:r>
    </w:p>
    <w:p>
      <w:r>
        <w:rPr>
          <w:b/>
        </w:rPr>
        <w:t>ASOJU is a trusted representation platform for people living abroad. We help them get important things handled back home in Nigeria through accountable local support, clear scope, coordinated execution and evidence-backed outcomes.</w:t>
      </w:r>
    </w:p>
    <w:p>
      <w:pPr>
        <w:pStyle w:val="Heading1"/>
      </w:pPr>
      <w:r>
        <w:t>7. 30-Second Pitch</w:t>
      </w:r>
    </w:p>
    <w:p>
      <w:r>
        <w:rPr>
          <w:b/>
        </w:rPr>
        <w:t>Living abroad doesn't mean your responsibilities stop at the border. Your family may need support, your property may need attention, and important things still need someone physically present. ASOJU gives you a trusted rep back home—someone accountable to help coordinate, check and get important things handled, with clear updates and evidence of what happened.</w:t>
      </w:r>
    </w:p>
    <w:p>
      <w:pPr>
        <w:pStyle w:val="Heading1"/>
      </w:pPr>
      <w:r>
        <w:t>8. 60-Second Brand Explanation</w:t>
      </w:r>
    </w:p>
    <w:p>
      <w:r>
        <w:rPr>
          <w:b w:val="0"/>
        </w:rPr>
        <w:t>ASOJU exists for the moments when you are abroad but something important needs to happen in Nigeria. Instead of relying on informal arrangements or trying to coordinate everything remotely yourself, ASOJU gives you a structured way to be represented back home.</w:t>
      </w:r>
    </w:p>
    <w:p>
      <w:r>
        <w:rPr>
          <w:b w:val="0"/>
        </w:rPr>
        <w:t>We help define what needs to be done, coordinate the right local support, keep you informed and provide evidence-backed outcomes. The goal is simple: you may not be physically present, but you should still be able to show up for what matters.</w:t>
      </w:r>
    </w:p>
    <w:p>
      <w:r>
        <w:rPr>
          <w:b/>
        </w:rPr>
        <w:t>ASOJU. Your Trusted Rep Back Home.</w:t>
      </w:r>
    </w:p>
    <w:p>
      <w:pPr>
        <w:pStyle w:val="Heading1"/>
      </w:pPr>
      <w:r>
        <w:t>9. Brand Story</w:t>
      </w:r>
    </w:p>
    <w:p>
      <w:r>
        <w:rPr>
          <w:b w:val="0"/>
        </w:rPr>
        <w:t>People leave Nigeria for opportunity, work, education and a better future. But distance doesn't erase responsibility.</w:t>
      </w:r>
    </w:p>
    <w:p>
      <w:r>
        <w:rPr>
          <w:b w:val="0"/>
        </w:rPr>
        <w:t>Family still needs support. Property still needs attention. Documents still need handling. Important decisions still need someone on the ground.</w:t>
      </w:r>
    </w:p>
    <w:p>
      <w:r>
        <w:rPr>
          <w:b w:val="0"/>
        </w:rPr>
        <w:t>The challenge is trust. Who can you rely on? Who will actually follow through? What happened after you sent the money? Was it done properly?</w:t>
      </w:r>
    </w:p>
    <w:p>
      <w:r>
        <w:rPr>
          <w:b w:val="0"/>
        </w:rPr>
        <w:t>ASOJU helps close that gap.</w:t>
      </w:r>
    </w:p>
    <w:p>
      <w:r>
        <w:rPr>
          <w:b w:val="0"/>
        </w:rPr>
        <w:t>We give people abroad a trusted way to be represented back home—through accountable local support, clear expectations, coordinated execution and evidence.</w:t>
      </w:r>
    </w:p>
    <w:p>
      <w:r>
        <w:rPr>
          <w:b w:val="0"/>
        </w:rPr>
        <w:t>Because being far away should not mean being absent.</w:t>
      </w:r>
    </w:p>
    <w:p>
      <w:r>
        <w:rPr>
          <w:b/>
        </w:rPr>
        <w:t>ASOJU — Your Trusted Rep Back Home.</w:t>
      </w:r>
    </w:p>
    <w:p>
      <w:pPr>
        <w:pStyle w:val="Heading1"/>
      </w:pPr>
      <w:r>
        <w:t>10. Customer Emotional Message</w:t>
      </w:r>
    </w:p>
    <w:p>
      <w:r>
        <w:rPr>
          <w:b/>
        </w:rPr>
        <w:t>“I may not be in Nigeria, but I can still show up.”</w:t>
      </w:r>
    </w:p>
    <w:p>
      <w:pPr>
        <w:pStyle w:val="Heading1"/>
      </w:pPr>
      <w:r>
        <w:t>11. Customer Functional Message</w:t>
      </w:r>
    </w:p>
    <w:p>
      <w:r>
        <w:rPr>
          <w:b/>
        </w:rPr>
        <w:t>“ASOJU gives me someone accountable to help handle what I cannot handle physically from abroad.”</w:t>
      </w:r>
    </w:p>
    <w:p>
      <w:pPr>
        <w:pStyle w:val="Heading1"/>
      </w:pPr>
      <w:r>
        <w:t>12. Customer Trust Message</w:t>
      </w:r>
    </w:p>
    <w:p>
      <w:r>
        <w:rPr>
          <w:b/>
        </w:rPr>
        <w:t>“I know what I asked for, who is handling it, what happened and what evidence supports the outcome.”</w:t>
      </w:r>
    </w:p>
    <w:p>
      <w:pPr>
        <w:pStyle w:val="Heading1"/>
      </w:pPr>
      <w:r>
        <w:t>13. Message Hierarchy</w:t>
      </w:r>
    </w:p>
    <w:p>
      <w:pPr>
        <w:pStyle w:val="ListNumber"/>
      </w:pPr>
      <w:r>
        <w:t>Start with the customer's responsibility/distance problem.</w:t>
      </w:r>
    </w:p>
    <w:p>
      <w:pPr>
        <w:pStyle w:val="ListNumber"/>
      </w:pPr>
      <w:r>
        <w:t>Introduce ASOJU as the trusted representation solution.</w:t>
      </w:r>
    </w:p>
    <w:p>
      <w:pPr>
        <w:pStyle w:val="ListNumber"/>
      </w:pPr>
      <w:r>
        <w:t>Explain what ASOJU does.</w:t>
      </w:r>
    </w:p>
    <w:p>
      <w:pPr>
        <w:pStyle w:val="ListNumber"/>
      </w:pPr>
      <w:r>
        <w:t>Show how trust is created: scope, accountability, updates, evidence and QC.</w:t>
      </w:r>
    </w:p>
    <w:p>
      <w:pPr>
        <w:pStyle w:val="ListNumber"/>
      </w:pPr>
      <w:r>
        <w:t>Invite the customer to take the next step.</w:t>
      </w:r>
    </w:p>
    <w:p>
      <w:pPr>
        <w:pStyle w:val="Heading1"/>
      </w:pPr>
      <w:r>
        <w:t>14. Message Formula</w:t>
      </w:r>
    </w:p>
    <w:p>
      <w:r>
        <w:rPr>
          <w:b/>
        </w:rPr>
        <w:t>DISTANCE → RESPONSIBILITY → UNCERTAINTY → TRUSTED REPRESENTATION → PROOF → PEACE OF MIND</w:t>
      </w:r>
    </w:p>
    <w:p>
      <w:r>
        <w:rPr>
          <w:b w:val="0"/>
        </w:rPr>
        <w:t>Example:</w:t>
      </w:r>
    </w:p>
    <w:p>
      <w:r>
        <w:rPr>
          <w:b w:val="0"/>
        </w:rPr>
        <w:t>“You may be abroad, but the things that matter back home still need attention. ASOJU gives you a trusted rep in Nigeria to help handle them—with clear scope, accountable execution and evidence of what was done.”</w:t>
      </w:r>
    </w:p>
    <w:p>
      <w:pPr>
        <w:pStyle w:val="Heading1"/>
      </w:pPr>
      <w:r>
        <w:t>15. Core Message Pillars</w:t>
      </w:r>
    </w:p>
    <w:tbl>
      <w:tblPr>
        <w:tblStyle w:val="TableGrid"/>
        <w:tblW w:type="auto" w:w="0"/>
        <w:jc w:val="center"/>
        <w:tblLook w:firstColumn="1" w:firstRow="1" w:lastColumn="0" w:lastRow="0" w:noHBand="0" w:noVBand="1" w:val="04A0"/>
      </w:tblPr>
      <w:tblGrid>
        <w:gridCol w:w="5112"/>
        <w:gridCol w:w="5112"/>
      </w:tblGrid>
      <w:tr>
        <w:tc>
          <w:tcPr>
            <w:tcW w:type="dxa" w:w="5112"/>
          </w:tcPr>
          <w:p>
            <w:r>
              <w:t>Pillar</w:t>
            </w:r>
          </w:p>
        </w:tc>
        <w:tc>
          <w:tcPr>
            <w:tcW w:type="dxa" w:w="5112"/>
          </w:tcPr>
          <w:p>
            <w:r>
              <w:t>Message</w:t>
            </w:r>
          </w:p>
        </w:tc>
      </w:tr>
      <w:tr>
        <w:tc>
          <w:tcPr>
            <w:tcW w:type="dxa" w:w="5112"/>
          </w:tcPr>
          <w:p>
            <w:r>
              <w:t>Presence</w:t>
            </w:r>
          </w:p>
        </w:tc>
        <w:tc>
          <w:tcPr>
            <w:tcW w:type="dxa" w:w="5112"/>
          </w:tcPr>
          <w:p>
            <w:r>
              <w:t>You can still show up from abroad.</w:t>
            </w:r>
          </w:p>
        </w:tc>
      </w:tr>
      <w:tr>
        <w:tc>
          <w:tcPr>
            <w:tcW w:type="dxa" w:w="5112"/>
          </w:tcPr>
          <w:p>
            <w:r>
              <w:t>Representation</w:t>
            </w:r>
          </w:p>
        </w:tc>
        <w:tc>
          <w:tcPr>
            <w:tcW w:type="dxa" w:w="5112"/>
          </w:tcPr>
          <w:p>
            <w:r>
              <w:t>Someone accountable can act on your behalf.</w:t>
            </w:r>
          </w:p>
        </w:tc>
      </w:tr>
      <w:tr>
        <w:tc>
          <w:tcPr>
            <w:tcW w:type="dxa" w:w="5112"/>
          </w:tcPr>
          <w:p>
            <w:r>
              <w:t>Trust</w:t>
            </w:r>
          </w:p>
        </w:tc>
        <w:tc>
          <w:tcPr>
            <w:tcW w:type="dxa" w:w="5112"/>
          </w:tcPr>
          <w:p>
            <w:r>
              <w:t>The relationship is structured around accountability.</w:t>
            </w:r>
          </w:p>
        </w:tc>
      </w:tr>
      <w:tr>
        <w:tc>
          <w:tcPr>
            <w:tcW w:type="dxa" w:w="5112"/>
          </w:tcPr>
          <w:p>
            <w:r>
              <w:t>Visibility</w:t>
            </w:r>
          </w:p>
        </w:tc>
        <w:tc>
          <w:tcPr>
            <w:tcW w:type="dxa" w:w="5112"/>
          </w:tcPr>
          <w:p>
            <w:r>
              <w:t>You know what is happening.</w:t>
            </w:r>
          </w:p>
        </w:tc>
      </w:tr>
      <w:tr>
        <w:tc>
          <w:tcPr>
            <w:tcW w:type="dxa" w:w="5112"/>
          </w:tcPr>
          <w:p>
            <w:r>
              <w:t>Evidence</w:t>
            </w:r>
          </w:p>
        </w:tc>
        <w:tc>
          <w:tcPr>
            <w:tcW w:type="dxa" w:w="5112"/>
          </w:tcPr>
          <w:p>
            <w:r>
              <w:t>Important outcomes are supported by proof.</w:t>
            </w:r>
          </w:p>
        </w:tc>
      </w:tr>
      <w:tr>
        <w:tc>
          <w:tcPr>
            <w:tcW w:type="dxa" w:w="5112"/>
          </w:tcPr>
          <w:p>
            <w:r>
              <w:t>Care</w:t>
            </w:r>
          </w:p>
        </w:tc>
        <w:tc>
          <w:tcPr>
            <w:tcW w:type="dxa" w:w="5112"/>
          </w:tcPr>
          <w:p>
            <w:r>
              <w:t>Family and important responsibilities are treated seriously.</w:t>
            </w:r>
          </w:p>
        </w:tc>
      </w:tr>
      <w:tr>
        <w:tc>
          <w:tcPr>
            <w:tcW w:type="dxa" w:w="5112"/>
          </w:tcPr>
          <w:p>
            <w:r>
              <w:t>Peace of mind</w:t>
            </w:r>
          </w:p>
        </w:tc>
        <w:tc>
          <w:tcPr>
            <w:tcW w:type="dxa" w:w="5112"/>
          </w:tcPr>
          <w:p>
            <w:r>
              <w:t>Less uncertainty about what is happening back home.</w:t>
            </w:r>
          </w:p>
        </w:tc>
      </w:tr>
    </w:tbl>
    <w:p>
      <w:pPr>
        <w:pStyle w:val="Heading1"/>
      </w:pPr>
      <w:r>
        <w:t>16. Tone of Voice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Trait</w:t>
            </w:r>
          </w:p>
        </w:tc>
        <w:tc>
          <w:tcPr>
            <w:tcW w:type="dxa" w:w="3408"/>
          </w:tcPr>
          <w:p>
            <w:r>
              <w:t>Do</w:t>
            </w:r>
          </w:p>
        </w:tc>
        <w:tc>
          <w:tcPr>
            <w:tcW w:type="dxa" w:w="3408"/>
          </w:tcPr>
          <w:p>
            <w:r>
              <w:t>Don't</w:t>
            </w:r>
          </w:p>
        </w:tc>
      </w:tr>
      <w:tr>
        <w:tc>
          <w:tcPr>
            <w:tcW w:type="dxa" w:w="3408"/>
          </w:tcPr>
          <w:p>
            <w:r>
              <w:t>Trustworthy</w:t>
            </w:r>
          </w:p>
        </w:tc>
        <w:tc>
          <w:tcPr>
            <w:tcW w:type="dxa" w:w="3408"/>
          </w:tcPr>
          <w:p>
            <w:r>
              <w:t>“Here's what we'll do next.”</w:t>
            </w:r>
          </w:p>
        </w:tc>
        <w:tc>
          <w:tcPr>
            <w:tcW w:type="dxa" w:w="3408"/>
          </w:tcPr>
          <w:p>
            <w:r>
              <w:t>“Don't worry, we've got everything.”</w:t>
            </w:r>
          </w:p>
        </w:tc>
      </w:tr>
      <w:tr>
        <w:tc>
          <w:tcPr>
            <w:tcW w:type="dxa" w:w="3408"/>
          </w:tcPr>
          <w:p>
            <w:r>
              <w:t>Warm</w:t>
            </w:r>
          </w:p>
        </w:tc>
        <w:tc>
          <w:tcPr>
            <w:tcW w:type="dxa" w:w="3408"/>
          </w:tcPr>
          <w:p>
            <w:r>
              <w:t>“We understand this matters.”</w:t>
            </w:r>
          </w:p>
        </w:tc>
        <w:tc>
          <w:tcPr>
            <w:tcW w:type="dxa" w:w="3408"/>
          </w:tcPr>
          <w:p>
            <w:r>
              <w:t>Overly sentimental language.</w:t>
            </w:r>
          </w:p>
        </w:tc>
      </w:tr>
      <w:tr>
        <w:tc>
          <w:tcPr>
            <w:tcW w:type="dxa" w:w="3408"/>
          </w:tcPr>
          <w:p>
            <w:r>
              <w:t>Capable</w:t>
            </w:r>
          </w:p>
        </w:tc>
        <w:tc>
          <w:tcPr>
            <w:tcW w:type="dxa" w:w="3408"/>
          </w:tcPr>
          <w:p>
            <w:r>
              <w:t>“Your case has been assigned to…”</w:t>
            </w:r>
          </w:p>
        </w:tc>
        <w:tc>
          <w:tcPr>
            <w:tcW w:type="dxa" w:w="3408"/>
          </w:tcPr>
          <w:p>
            <w:r>
              <w:t>Vague reassurance.</w:t>
            </w:r>
          </w:p>
        </w:tc>
      </w:tr>
      <w:tr>
        <w:tc>
          <w:tcPr>
            <w:tcW w:type="dxa" w:w="3408"/>
          </w:tcPr>
          <w:p>
            <w:r>
              <w:t>Calm</w:t>
            </w:r>
          </w:p>
        </w:tc>
        <w:tc>
          <w:tcPr>
            <w:tcW w:type="dxa" w:w="3408"/>
          </w:tcPr>
          <w:p>
            <w:r>
              <w:t>“This is what we know and what happens next.”</w:t>
            </w:r>
          </w:p>
        </w:tc>
        <w:tc>
          <w:tcPr>
            <w:tcW w:type="dxa" w:w="3408"/>
          </w:tcPr>
          <w:p>
            <w:r>
              <w:t>Fear or urgency tactics.</w:t>
            </w:r>
          </w:p>
        </w:tc>
      </w:tr>
      <w:tr>
        <w:tc>
          <w:tcPr>
            <w:tcW w:type="dxa" w:w="3408"/>
          </w:tcPr>
          <w:p>
            <w:r>
              <w:t>Transparent</w:t>
            </w:r>
          </w:p>
        </w:tc>
        <w:tc>
          <w:tcPr>
            <w:tcW w:type="dxa" w:w="3408"/>
          </w:tcPr>
          <w:p>
            <w:r>
              <w:t>“This is included. This is not included.”</w:t>
            </w:r>
          </w:p>
        </w:tc>
        <w:tc>
          <w:tcPr>
            <w:tcW w:type="dxa" w:w="3408"/>
          </w:tcPr>
          <w:p>
            <w:r>
              <w:t>Hidden conditions.</w:t>
            </w:r>
          </w:p>
        </w:tc>
      </w:tr>
      <w:tr>
        <w:tc>
          <w:tcPr>
            <w:tcW w:type="dxa" w:w="3408"/>
          </w:tcPr>
          <w:p>
            <w:r>
              <w:t>Modern</w:t>
            </w:r>
          </w:p>
        </w:tc>
        <w:tc>
          <w:tcPr>
            <w:tcW w:type="dxa" w:w="3408"/>
          </w:tcPr>
          <w:p>
            <w:r>
              <w:t>Simple, clear digital language.</w:t>
            </w:r>
          </w:p>
        </w:tc>
        <w:tc>
          <w:tcPr>
            <w:tcW w:type="dxa" w:w="3408"/>
          </w:tcPr>
          <w:p>
            <w:r>
              <w:t>Tech jargon.</w:t>
            </w:r>
          </w:p>
        </w:tc>
      </w:tr>
      <w:tr>
        <w:tc>
          <w:tcPr>
            <w:tcW w:type="dxa" w:w="3408"/>
          </w:tcPr>
          <w:p>
            <w:r>
              <w:t>Respectful</w:t>
            </w:r>
          </w:p>
        </w:tc>
        <w:tc>
          <w:tcPr>
            <w:tcW w:type="dxa" w:w="3408"/>
          </w:tcPr>
          <w:p>
            <w:r>
              <w:t>Treat family responsibilities seriously.</w:t>
            </w:r>
          </w:p>
        </w:tc>
        <w:tc>
          <w:tcPr>
            <w:tcW w:type="dxa" w:w="3408"/>
          </w:tcPr>
          <w:p>
            <w:r>
              <w:t>Stereotype or patronize.</w:t>
            </w:r>
          </w:p>
        </w:tc>
      </w:tr>
    </w:tbl>
    <w:p>
      <w:pPr>
        <w:pStyle w:val="Heading1"/>
      </w:pPr>
      <w:r>
        <w:t>17. Voice Rule</w:t>
      </w:r>
    </w:p>
    <w:p>
      <w:r>
        <w:rPr>
          <w:b/>
        </w:rPr>
        <w:t>Reassure through clarity, not exaggeration.</w:t>
      </w:r>
    </w:p>
    <w:p>
      <w:pPr>
        <w:pStyle w:val="Heading1"/>
      </w:pPr>
      <w:r>
        <w:t>18. Words ASOJU Should Own</w:t>
      </w:r>
    </w:p>
    <w:p>
      <w:pPr>
        <w:pStyle w:val="ListBullet"/>
      </w:pPr>
      <w:r>
        <w:t>Trusted</w:t>
      </w:r>
    </w:p>
    <w:p>
      <w:pPr>
        <w:pStyle w:val="ListBullet"/>
      </w:pPr>
      <w:r>
        <w:t>Rep</w:t>
      </w:r>
    </w:p>
    <w:p>
      <w:pPr>
        <w:pStyle w:val="ListBullet"/>
      </w:pPr>
      <w:r>
        <w:t>Representation</w:t>
      </w:r>
    </w:p>
    <w:p>
      <w:pPr>
        <w:pStyle w:val="ListBullet"/>
      </w:pPr>
      <w:r>
        <w:t>Back home</w:t>
      </w:r>
    </w:p>
    <w:p>
      <w:pPr>
        <w:pStyle w:val="ListBullet"/>
      </w:pPr>
      <w:r>
        <w:t>Present</w:t>
      </w:r>
    </w:p>
    <w:p>
      <w:pPr>
        <w:pStyle w:val="ListBullet"/>
      </w:pPr>
      <w:r>
        <w:t>Support</w:t>
      </w:r>
    </w:p>
    <w:p>
      <w:pPr>
        <w:pStyle w:val="ListBullet"/>
      </w:pPr>
      <w:r>
        <w:t>Handle</w:t>
      </w:r>
    </w:p>
    <w:p>
      <w:pPr>
        <w:pStyle w:val="ListBullet"/>
      </w:pPr>
      <w:r>
        <w:t>Coordinate</w:t>
      </w:r>
    </w:p>
    <w:p>
      <w:pPr>
        <w:pStyle w:val="ListBullet"/>
      </w:pPr>
      <w:r>
        <w:t>Check</w:t>
      </w:r>
    </w:p>
    <w:p>
      <w:pPr>
        <w:pStyle w:val="ListBullet"/>
      </w:pPr>
      <w:r>
        <w:t>Verify</w:t>
      </w:r>
    </w:p>
    <w:p>
      <w:pPr>
        <w:pStyle w:val="ListBullet"/>
      </w:pPr>
      <w:r>
        <w:t>Accountable</w:t>
      </w:r>
    </w:p>
    <w:p>
      <w:pPr>
        <w:pStyle w:val="ListBullet"/>
      </w:pPr>
      <w:r>
        <w:t>Evidence</w:t>
      </w:r>
    </w:p>
    <w:p>
      <w:pPr>
        <w:pStyle w:val="ListBullet"/>
      </w:pPr>
      <w:r>
        <w:t>Confidence</w:t>
      </w:r>
    </w:p>
    <w:p>
      <w:pPr>
        <w:pStyle w:val="ListBullet"/>
      </w:pPr>
      <w:r>
        <w:t>Peace of mind</w:t>
      </w:r>
    </w:p>
    <w:p>
      <w:pPr>
        <w:pStyle w:val="ListBullet"/>
      </w:pPr>
      <w:r>
        <w:t>Family</w:t>
      </w:r>
    </w:p>
    <w:p>
      <w:pPr>
        <w:pStyle w:val="ListBullet"/>
      </w:pPr>
      <w:r>
        <w:t>Home</w:t>
      </w:r>
    </w:p>
    <w:p>
      <w:pPr>
        <w:pStyle w:val="Heading1"/>
      </w:pPr>
      <w:r>
        <w:t>19. Words to Use Carefully</w:t>
      </w:r>
    </w:p>
    <w:tbl>
      <w:tblPr>
        <w:tblStyle w:val="TableGrid"/>
        <w:tblW w:type="auto" w:w="0"/>
        <w:jc w:val="center"/>
        <w:tblLook w:firstColumn="1" w:firstRow="1" w:lastColumn="0" w:lastRow="0" w:noHBand="0" w:noVBand="1" w:val="04A0"/>
      </w:tblPr>
      <w:tblGrid>
        <w:gridCol w:w="5112"/>
        <w:gridCol w:w="5112"/>
      </w:tblGrid>
      <w:tr>
        <w:tc>
          <w:tcPr>
            <w:tcW w:type="dxa" w:w="5112"/>
          </w:tcPr>
          <w:p>
            <w:r>
              <w:t>Word</w:t>
            </w:r>
          </w:p>
        </w:tc>
        <w:tc>
          <w:tcPr>
            <w:tcW w:type="dxa" w:w="5112"/>
          </w:tcPr>
          <w:p>
            <w:r>
              <w:t>Guidance</w:t>
            </w:r>
          </w:p>
        </w:tc>
      </w:tr>
      <w:tr>
        <w:tc>
          <w:tcPr>
            <w:tcW w:type="dxa" w:w="5112"/>
          </w:tcPr>
          <w:p>
            <w:r>
              <w:t>Errand</w:t>
            </w:r>
          </w:p>
        </w:tc>
        <w:tc>
          <w:tcPr>
            <w:tcW w:type="dxa" w:w="5112"/>
          </w:tcPr>
          <w:p>
            <w:r>
              <w:t>Useful internally; too small as the brand category.</w:t>
            </w:r>
          </w:p>
        </w:tc>
      </w:tr>
      <w:tr>
        <w:tc>
          <w:tcPr>
            <w:tcW w:type="dxa" w:w="5112"/>
          </w:tcPr>
          <w:p>
            <w:r>
              <w:t>Task</w:t>
            </w:r>
          </w:p>
        </w:tc>
        <w:tc>
          <w:tcPr>
            <w:tcW w:type="dxa" w:w="5112"/>
          </w:tcPr>
          <w:p>
            <w:r>
              <w:t>Useful operationally; avoid as the main emotional framing.</w:t>
            </w:r>
          </w:p>
        </w:tc>
      </w:tr>
      <w:tr>
        <w:tc>
          <w:tcPr>
            <w:tcW w:type="dxa" w:w="5112"/>
          </w:tcPr>
          <w:p>
            <w:r>
              <w:t>Agent</w:t>
            </w:r>
          </w:p>
        </w:tc>
        <w:tc>
          <w:tcPr>
            <w:tcW w:type="dxa" w:w="5112"/>
          </w:tcPr>
          <w:p>
            <w:r>
              <w:t>Can be operational; “rep” is stronger for brand.</w:t>
            </w:r>
          </w:p>
        </w:tc>
      </w:tr>
      <w:tr>
        <w:tc>
          <w:tcPr>
            <w:tcW w:type="dxa" w:w="5112"/>
          </w:tcPr>
          <w:p>
            <w:r>
              <w:t>Marketplace</w:t>
            </w:r>
          </w:p>
        </w:tc>
        <w:tc>
          <w:tcPr>
            <w:tcW w:type="dxa" w:w="5112"/>
          </w:tcPr>
          <w:p>
            <w:r>
              <w:t>Avoid as the main positioning; can commoditize trust.</w:t>
            </w:r>
          </w:p>
        </w:tc>
      </w:tr>
      <w:tr>
        <w:tc>
          <w:tcPr>
            <w:tcW w:type="dxa" w:w="5112"/>
          </w:tcPr>
          <w:p>
            <w:r>
              <w:t>Fixer</w:t>
            </w:r>
          </w:p>
        </w:tc>
        <w:tc>
          <w:tcPr>
            <w:tcW w:type="dxa" w:w="5112"/>
          </w:tcPr>
          <w:p>
            <w:r>
              <w:t>Avoid; can imply informality and weak accountability.</w:t>
            </w:r>
          </w:p>
        </w:tc>
      </w:tr>
      <w:tr>
        <w:tc>
          <w:tcPr>
            <w:tcW w:type="dxa" w:w="5112"/>
          </w:tcPr>
          <w:p>
            <w:r>
              <w:t>Guarantee</w:t>
            </w:r>
          </w:p>
        </w:tc>
        <w:tc>
          <w:tcPr>
            <w:tcW w:type="dxa" w:w="5112"/>
          </w:tcPr>
          <w:p>
            <w:r>
              <w:t>Use only when a real guarantee exists.</w:t>
            </w:r>
          </w:p>
        </w:tc>
      </w:tr>
      <w:tr>
        <w:tc>
          <w:tcPr>
            <w:tcW w:type="dxa" w:w="5112"/>
          </w:tcPr>
          <w:p>
            <w:r>
              <w:t>Instant</w:t>
            </w:r>
          </w:p>
        </w:tc>
        <w:tc>
          <w:tcPr>
            <w:tcW w:type="dxa" w:w="5112"/>
          </w:tcPr>
          <w:p>
            <w:r>
              <w:t>Avoid unless the actual service is reliably instant.</w:t>
            </w:r>
          </w:p>
        </w:tc>
      </w:tr>
      <w:tr>
        <w:tc>
          <w:tcPr>
            <w:tcW w:type="dxa" w:w="5112"/>
          </w:tcPr>
          <w:p>
            <w:r>
              <w:t>Always/Never</w:t>
            </w:r>
          </w:p>
        </w:tc>
        <w:tc>
          <w:tcPr>
            <w:tcW w:type="dxa" w:w="5112"/>
          </w:tcPr>
          <w:p>
            <w:r>
              <w:t>Avoid unless operationally defensible.</w:t>
            </w:r>
          </w:p>
        </w:tc>
      </w:tr>
    </w:tbl>
    <w:p>
      <w:pPr>
        <w:pStyle w:val="Heading1"/>
      </w:pPr>
      <w:r>
        <w:t>20. Language We Should Avoid</w:t>
      </w:r>
    </w:p>
    <w:p>
      <w:pPr>
        <w:pStyle w:val="ListBullet"/>
      </w:pPr>
      <w:r>
        <w:t>Fear-based claims about Nigeria.</w:t>
      </w:r>
    </w:p>
    <w:p>
      <w:pPr>
        <w:pStyle w:val="ListBullet"/>
      </w:pPr>
      <w:r>
        <w:t>Messages implying families abroad are neglecting their families.</w:t>
      </w:r>
    </w:p>
    <w:p>
      <w:pPr>
        <w:pStyle w:val="ListBullet"/>
      </w:pPr>
      <w:r>
        <w:t>Exaggerated promises of certainty.</w:t>
      </w:r>
    </w:p>
    <w:p>
      <w:pPr>
        <w:pStyle w:val="ListBullet"/>
      </w:pPr>
      <w:r>
        <w:t>Claims of perfect reliability before data supports them.</w:t>
      </w:r>
    </w:p>
    <w:p>
      <w:pPr>
        <w:pStyle w:val="ListBullet"/>
      </w:pPr>
      <w:r>
        <w:t>Language that reduces representatives to anonymous labor.</w:t>
      </w:r>
    </w:p>
    <w:p>
      <w:pPr>
        <w:pStyle w:val="ListBullet"/>
      </w:pPr>
      <w:r>
        <w:t>Overly technical product language.</w:t>
      </w:r>
    </w:p>
    <w:p>
      <w:pPr>
        <w:pStyle w:val="ListBullet"/>
      </w:pPr>
      <w:r>
        <w:t>Generic startup jargon such as “revolutionizing” without substance.</w:t>
      </w:r>
    </w:p>
    <w:p>
      <w:pPr>
        <w:pStyle w:val="Heading1"/>
      </w:pPr>
      <w:r>
        <w:t>21. Customer-Facing Language Principles</w:t>
      </w:r>
    </w:p>
    <w:p>
      <w:pPr>
        <w:pStyle w:val="ListNumber"/>
      </w:pPr>
      <w:r>
        <w:t>Tell the customer what will happen.</w:t>
      </w:r>
    </w:p>
    <w:p>
      <w:pPr>
        <w:pStyle w:val="ListNumber"/>
      </w:pPr>
      <w:r>
        <w:t>Tell them what is needed from them.</w:t>
      </w:r>
    </w:p>
    <w:p>
      <w:pPr>
        <w:pStyle w:val="ListNumber"/>
      </w:pPr>
      <w:r>
        <w:t>Tell them when the next step occurs.</w:t>
      </w:r>
    </w:p>
    <w:p>
      <w:pPr>
        <w:pStyle w:val="ListNumber"/>
      </w:pPr>
      <w:r>
        <w:t>Explain changes before they become surprises.</w:t>
      </w:r>
    </w:p>
    <w:p>
      <w:pPr>
        <w:pStyle w:val="ListNumber"/>
      </w:pPr>
      <w:r>
        <w:t>Use plain language for price and scope.</w:t>
      </w:r>
    </w:p>
    <w:p>
      <w:pPr>
        <w:pStyle w:val="ListNumber"/>
      </w:pPr>
      <w:r>
        <w:t>Do not hide uncertainty.</w:t>
      </w:r>
    </w:p>
    <w:p>
      <w:pPr>
        <w:pStyle w:val="ListNumber"/>
      </w:pPr>
      <w:r>
        <w:t>Never imply work has been completed before confirmation.</w:t>
      </w:r>
    </w:p>
    <w:p>
      <w:pPr>
        <w:pStyle w:val="ListNumber"/>
      </w:pPr>
      <w:r>
        <w:t>Use evidence to support important claims.</w:t>
      </w:r>
    </w:p>
    <w:p>
      <w:pPr>
        <w:pStyle w:val="Heading1"/>
      </w:pPr>
      <w:r>
        <w:t>22. Website Homepage Message Architecture</w:t>
      </w:r>
    </w:p>
    <w:tbl>
      <w:tblPr>
        <w:tblStyle w:val="TableGrid"/>
        <w:tblW w:type="auto" w:w="0"/>
        <w:jc w:val="center"/>
        <w:tblLook w:firstColumn="1" w:firstRow="1" w:lastColumn="0" w:lastRow="0" w:noHBand="0" w:noVBand="1" w:val="04A0"/>
      </w:tblPr>
      <w:tblGrid>
        <w:gridCol w:w="5112"/>
        <w:gridCol w:w="5112"/>
      </w:tblGrid>
      <w:tr>
        <w:tc>
          <w:tcPr>
            <w:tcW w:type="dxa" w:w="5112"/>
          </w:tcPr>
          <w:p>
            <w:r>
              <w:t>Section</w:t>
            </w:r>
          </w:p>
        </w:tc>
        <w:tc>
          <w:tcPr>
            <w:tcW w:type="dxa" w:w="5112"/>
          </w:tcPr>
          <w:p>
            <w:r>
              <w:t>Recommended Message</w:t>
            </w:r>
          </w:p>
        </w:tc>
      </w:tr>
      <w:tr>
        <w:tc>
          <w:tcPr>
            <w:tcW w:type="dxa" w:w="5112"/>
          </w:tcPr>
          <w:p>
            <w:r>
              <w:t>Hero</w:t>
            </w:r>
          </w:p>
        </w:tc>
        <w:tc>
          <w:tcPr>
            <w:tcW w:type="dxa" w:w="5112"/>
          </w:tcPr>
          <w:p>
            <w:r>
              <w:t>Your Trusted Rep Back Home.</w:t>
            </w:r>
          </w:p>
        </w:tc>
      </w:tr>
      <w:tr>
        <w:tc>
          <w:tcPr>
            <w:tcW w:type="dxa" w:w="5112"/>
          </w:tcPr>
          <w:p>
            <w:r>
              <w:t>Hero support</w:t>
            </w:r>
          </w:p>
        </w:tc>
        <w:tc>
          <w:tcPr>
            <w:tcW w:type="dxa" w:w="5112"/>
          </w:tcPr>
          <w:p>
            <w:r>
              <w:t>Be there for what matters, even when you can't be there in person.</w:t>
            </w:r>
          </w:p>
        </w:tc>
      </w:tr>
      <w:tr>
        <w:tc>
          <w:tcPr>
            <w:tcW w:type="dxa" w:w="5112"/>
          </w:tcPr>
          <w:p>
            <w:r>
              <w:t>Problem</w:t>
            </w:r>
          </w:p>
        </w:tc>
        <w:tc>
          <w:tcPr>
            <w:tcW w:type="dxa" w:w="5112"/>
          </w:tcPr>
          <w:p>
            <w:r>
              <w:t>Distance shouldn't make important responsibilities harder to manage.</w:t>
            </w:r>
          </w:p>
        </w:tc>
      </w:tr>
      <w:tr>
        <w:tc>
          <w:tcPr>
            <w:tcW w:type="dxa" w:w="5112"/>
          </w:tcPr>
          <w:p>
            <w:r>
              <w:t>Solution</w:t>
            </w:r>
          </w:p>
        </w:tc>
        <w:tc>
          <w:tcPr>
            <w:tcW w:type="dxa" w:w="5112"/>
          </w:tcPr>
          <w:p>
            <w:r>
              <w:t>ASOJU gives you trusted local representation in Nigeria.</w:t>
            </w:r>
          </w:p>
        </w:tc>
      </w:tr>
      <w:tr>
        <w:tc>
          <w:tcPr>
            <w:tcW w:type="dxa" w:w="5112"/>
          </w:tcPr>
          <w:p>
            <w:r>
              <w:t>How it works</w:t>
            </w:r>
          </w:p>
        </w:tc>
        <w:tc>
          <w:tcPr>
            <w:tcW w:type="dxa" w:w="5112"/>
          </w:tcPr>
          <w:p>
            <w:r>
              <w:t>Tell us → Agree the scope → We handle it → You see the outcome.</w:t>
            </w:r>
          </w:p>
        </w:tc>
      </w:tr>
      <w:tr>
        <w:tc>
          <w:tcPr>
            <w:tcW w:type="dxa" w:w="5112"/>
          </w:tcPr>
          <w:p>
            <w:r>
              <w:t>Trust</w:t>
            </w:r>
          </w:p>
        </w:tc>
        <w:tc>
          <w:tcPr>
            <w:tcW w:type="dxa" w:w="5112"/>
          </w:tcPr>
          <w:p>
            <w:r>
              <w:t>Clear scope. Accountable support. Evidence-backed outcomes.</w:t>
            </w:r>
          </w:p>
        </w:tc>
      </w:tr>
      <w:tr>
        <w:tc>
          <w:tcPr>
            <w:tcW w:type="dxa" w:w="5112"/>
          </w:tcPr>
          <w:p>
            <w:r>
              <w:t>CTA</w:t>
            </w:r>
          </w:p>
        </w:tc>
        <w:tc>
          <w:tcPr>
            <w:tcW w:type="dxa" w:w="5112"/>
          </w:tcPr>
          <w:p>
            <w:r>
              <w:t>Get a Trusted Rep Back Home.</w:t>
            </w:r>
          </w:p>
        </w:tc>
      </w:tr>
    </w:tbl>
    <w:p>
      <w:pPr>
        <w:pStyle w:val="Heading1"/>
      </w:pPr>
      <w:r>
        <w:t>23. Website About Message</w:t>
      </w:r>
    </w:p>
    <w:p>
      <w:r>
        <w:rPr>
          <w:b w:val="0"/>
        </w:rPr>
        <w:t>ASOJU exists to make distance less of a barrier to showing up for what matters back home. We help people living abroad coordinate trusted local support for their families, property and important responsibilities in Nigeria—with clear expectations, accountable execution and evidence-backed outcomes.</w:t>
      </w:r>
    </w:p>
    <w:p>
      <w:pPr>
        <w:pStyle w:val="Heading1"/>
      </w:pPr>
      <w:r>
        <w:t>24. Primary CTA System</w:t>
      </w:r>
    </w:p>
    <w:tbl>
      <w:tblPr>
        <w:tblStyle w:val="TableGrid"/>
        <w:tblW w:type="auto" w:w="0"/>
        <w:jc w:val="center"/>
        <w:tblLook w:firstColumn="1" w:firstRow="1" w:lastColumn="0" w:lastRow="0" w:noHBand="0" w:noVBand="1" w:val="04A0"/>
      </w:tblPr>
      <w:tblGrid>
        <w:gridCol w:w="5112"/>
        <w:gridCol w:w="5112"/>
      </w:tblGrid>
      <w:tr>
        <w:tc>
          <w:tcPr>
            <w:tcW w:type="dxa" w:w="5112"/>
          </w:tcPr>
          <w:p>
            <w:r>
              <w:t>Context</w:t>
            </w:r>
          </w:p>
        </w:tc>
        <w:tc>
          <w:tcPr>
            <w:tcW w:type="dxa" w:w="5112"/>
          </w:tcPr>
          <w:p>
            <w:r>
              <w:t>CTA</w:t>
            </w:r>
          </w:p>
        </w:tc>
      </w:tr>
      <w:tr>
        <w:tc>
          <w:tcPr>
            <w:tcW w:type="dxa" w:w="5112"/>
          </w:tcPr>
          <w:p>
            <w:r>
              <w:t>General</w:t>
            </w:r>
          </w:p>
        </w:tc>
        <w:tc>
          <w:tcPr>
            <w:tcW w:type="dxa" w:w="5112"/>
          </w:tcPr>
          <w:p>
            <w:r>
              <w:t>Get a Trusted Rep Back Home</w:t>
            </w:r>
          </w:p>
        </w:tc>
      </w:tr>
      <w:tr>
        <w:tc>
          <w:tcPr>
            <w:tcW w:type="dxa" w:w="5112"/>
          </w:tcPr>
          <w:p>
            <w:r>
              <w:t>Service discovery</w:t>
            </w:r>
          </w:p>
        </w:tc>
        <w:tc>
          <w:tcPr>
            <w:tcW w:type="dxa" w:w="5112"/>
          </w:tcPr>
          <w:p>
            <w:r>
              <w:t>Find the Right Support</w:t>
            </w:r>
          </w:p>
        </w:tc>
      </w:tr>
      <w:tr>
        <w:tc>
          <w:tcPr>
            <w:tcW w:type="dxa" w:w="5112"/>
          </w:tcPr>
          <w:p>
            <w:r>
              <w:t>New request</w:t>
            </w:r>
          </w:p>
        </w:tc>
        <w:tc>
          <w:tcPr>
            <w:tcW w:type="dxa" w:w="5112"/>
          </w:tcPr>
          <w:p>
            <w:r>
              <w:t>Tell Us What You Need</w:t>
            </w:r>
          </w:p>
        </w:tc>
      </w:tr>
      <w:tr>
        <w:tc>
          <w:tcPr>
            <w:tcW w:type="dxa" w:w="5112"/>
          </w:tcPr>
          <w:p>
            <w:r>
              <w:t>High-intent customer</w:t>
            </w:r>
          </w:p>
        </w:tc>
        <w:tc>
          <w:tcPr>
            <w:tcW w:type="dxa" w:w="5112"/>
          </w:tcPr>
          <w:p>
            <w:r>
              <w:t>Start a Request</w:t>
            </w:r>
          </w:p>
        </w:tc>
      </w:tr>
      <w:tr>
        <w:tc>
          <w:tcPr>
            <w:tcW w:type="dxa" w:w="5112"/>
          </w:tcPr>
          <w:p>
            <w:r>
              <w:t>Returning customer</w:t>
            </w:r>
          </w:p>
        </w:tc>
        <w:tc>
          <w:tcPr>
            <w:tcW w:type="dxa" w:w="5112"/>
          </w:tcPr>
          <w:p>
            <w:r>
              <w:t>Request Support</w:t>
            </w:r>
          </w:p>
        </w:tc>
      </w:tr>
      <w:tr>
        <w:tc>
          <w:tcPr>
            <w:tcW w:type="dxa" w:w="5112"/>
          </w:tcPr>
          <w:p>
            <w:r>
              <w:t>Referral</w:t>
            </w:r>
          </w:p>
        </w:tc>
        <w:tc>
          <w:tcPr>
            <w:tcW w:type="dxa" w:w="5112"/>
          </w:tcPr>
          <w:p>
            <w:r>
              <w:t>Help Someone Get Support Back Home</w:t>
            </w:r>
          </w:p>
        </w:tc>
      </w:tr>
      <w:tr>
        <w:tc>
          <w:tcPr>
            <w:tcW w:type="dxa" w:w="5112"/>
          </w:tcPr>
          <w:p>
            <w:r>
              <w:t>Partnership</w:t>
            </w:r>
          </w:p>
        </w:tc>
        <w:tc>
          <w:tcPr>
            <w:tcW w:type="dxa" w:w="5112"/>
          </w:tcPr>
          <w:p>
            <w:r>
              <w:t>Partner With ASOJU</w:t>
            </w:r>
          </w:p>
        </w:tc>
      </w:tr>
    </w:tbl>
    <w:p>
      <w:pPr>
        <w:pStyle w:val="Heading1"/>
      </w:pPr>
      <w:r>
        <w:t>25. CTA Principles</w:t>
      </w:r>
    </w:p>
    <w:p>
      <w:pPr>
        <w:pStyle w:val="ListBullet"/>
      </w:pPr>
      <w:r>
        <w:t>Prefer action + outcome.</w:t>
      </w:r>
    </w:p>
    <w:p>
      <w:pPr>
        <w:pStyle w:val="ListBullet"/>
      </w:pPr>
      <w:r>
        <w:t>Make the next step understandable.</w:t>
      </w:r>
    </w:p>
    <w:p>
      <w:pPr>
        <w:pStyle w:val="ListBullet"/>
      </w:pPr>
      <w:r>
        <w:t>Avoid generic “Submit” where a human alternative is possible.</w:t>
      </w:r>
    </w:p>
    <w:p>
      <w:pPr>
        <w:pStyle w:val="ListBullet"/>
      </w:pPr>
      <w:r>
        <w:t>Do not create false urgency.</w:t>
      </w:r>
    </w:p>
    <w:p>
      <w:pPr>
        <w:pStyle w:val="ListBullet"/>
      </w:pPr>
      <w:r>
        <w:t>Keep CTA language consistent across channels.</w:t>
      </w:r>
    </w:p>
    <w:p>
      <w:pPr>
        <w:pStyle w:val="Heading1"/>
      </w:pPr>
      <w:r>
        <w:t>26. Social Media Message Pillars</w:t>
      </w:r>
    </w:p>
    <w:tbl>
      <w:tblPr>
        <w:tblStyle w:val="TableGrid"/>
        <w:tblW w:type="auto" w:w="0"/>
        <w:jc w:val="center"/>
        <w:tblLook w:firstColumn="1" w:firstRow="1" w:lastColumn="0" w:lastRow="0" w:noHBand="0" w:noVBand="1" w:val="04A0"/>
      </w:tblPr>
      <w:tblGrid>
        <w:gridCol w:w="5112"/>
        <w:gridCol w:w="5112"/>
      </w:tblGrid>
      <w:tr>
        <w:tc>
          <w:tcPr>
            <w:tcW w:type="dxa" w:w="5112"/>
          </w:tcPr>
          <w:p>
            <w:r>
              <w:t>Pillar</w:t>
            </w:r>
          </w:p>
        </w:tc>
        <w:tc>
          <w:tcPr>
            <w:tcW w:type="dxa" w:w="5112"/>
          </w:tcPr>
          <w:p>
            <w:r>
              <w:t>Example Direction</w:t>
            </w:r>
          </w:p>
        </w:tc>
      </w:tr>
      <w:tr>
        <w:tc>
          <w:tcPr>
            <w:tcW w:type="dxa" w:w="5112"/>
          </w:tcPr>
          <w:p>
            <w:r>
              <w:t>Diaspora reality</w:t>
            </w:r>
          </w:p>
        </w:tc>
        <w:tc>
          <w:tcPr>
            <w:tcW w:type="dxa" w:w="5112"/>
          </w:tcPr>
          <w:p>
            <w:r>
              <w:t>“Living abroad doesn't mean your responsibilities stop.”</w:t>
            </w:r>
          </w:p>
        </w:tc>
      </w:tr>
      <w:tr>
        <w:tc>
          <w:tcPr>
            <w:tcW w:type="dxa" w:w="5112"/>
          </w:tcPr>
          <w:p>
            <w:r>
              <w:t>Trust education</w:t>
            </w:r>
          </w:p>
        </w:tc>
        <w:tc>
          <w:tcPr>
            <w:tcW w:type="dxa" w:w="5112"/>
          </w:tcPr>
          <w:p>
            <w:r>
              <w:t>“Before you send someone to handle something for you, ask these questions.”</w:t>
            </w:r>
          </w:p>
        </w:tc>
      </w:tr>
      <w:tr>
        <w:tc>
          <w:tcPr>
            <w:tcW w:type="dxa" w:w="5112"/>
          </w:tcPr>
          <w:p>
            <w:r>
              <w:t>Family presence</w:t>
            </w:r>
          </w:p>
        </w:tc>
        <w:tc>
          <w:tcPr>
            <w:tcW w:type="dxa" w:w="5112"/>
          </w:tcPr>
          <w:p>
            <w:r>
              <w:t>“You can be far away and still show up.”</w:t>
            </w:r>
          </w:p>
        </w:tc>
      </w:tr>
      <w:tr>
        <w:tc>
          <w:tcPr>
            <w:tcW w:type="dxa" w:w="5112"/>
          </w:tcPr>
          <w:p>
            <w:r>
              <w:t>Representation</w:t>
            </w:r>
          </w:p>
        </w:tc>
        <w:tc>
          <w:tcPr>
            <w:tcW w:type="dxa" w:w="5112"/>
          </w:tcPr>
          <w:p>
            <w:r>
              <w:t>“Sometimes what you need isn't another service. You need someone accountable.”</w:t>
            </w:r>
          </w:p>
        </w:tc>
      </w:tr>
      <w:tr>
        <w:tc>
          <w:tcPr>
            <w:tcW w:type="dxa" w:w="5112"/>
          </w:tcPr>
          <w:p>
            <w:r>
              <w:t>Proof</w:t>
            </w:r>
          </w:p>
        </w:tc>
        <w:tc>
          <w:tcPr>
            <w:tcW w:type="dxa" w:w="5112"/>
          </w:tcPr>
          <w:p>
            <w:r>
              <w:t>“Here's what a well-documented outcome looks like.”</w:t>
            </w:r>
          </w:p>
        </w:tc>
      </w:tr>
      <w:tr>
        <w:tc>
          <w:tcPr>
            <w:tcW w:type="dxa" w:w="5112"/>
          </w:tcPr>
          <w:p>
            <w:r>
              <w:t>Customer stories</w:t>
            </w:r>
          </w:p>
        </w:tc>
        <w:tc>
          <w:tcPr>
            <w:tcW w:type="dxa" w:w="5112"/>
          </w:tcPr>
          <w:p>
            <w:r>
              <w:t>“A customer abroad needed this handled back home. Here's how it was done.”</w:t>
            </w:r>
          </w:p>
        </w:tc>
      </w:tr>
      <w:tr>
        <w:tc>
          <w:tcPr>
            <w:tcW w:type="dxa" w:w="5112"/>
          </w:tcPr>
          <w:p>
            <w:r>
              <w:t>Brand building</w:t>
            </w:r>
          </w:p>
        </w:tc>
        <w:tc>
          <w:tcPr>
            <w:tcW w:type="dxa" w:w="5112"/>
          </w:tcPr>
          <w:p>
            <w:r>
              <w:t>“Your Trusted Rep Back Home.”</w:t>
            </w:r>
          </w:p>
        </w:tc>
      </w:tr>
    </w:tbl>
    <w:p>
      <w:pPr>
        <w:pStyle w:val="Heading1"/>
      </w:pPr>
      <w:r>
        <w:t>27. Content Hook Examples</w:t>
      </w:r>
    </w:p>
    <w:p>
      <w:pPr>
        <w:pStyle w:val="ListBullet"/>
      </w:pPr>
      <w:r>
        <w:t>“You don't have to be in Nigeria to show up for your family.”</w:t>
      </w:r>
    </w:p>
    <w:p>
      <w:pPr>
        <w:pStyle w:val="ListBullet"/>
      </w:pPr>
      <w:r>
        <w:t>“The hardest part of handling something back home isn't always the task. It's knowing who to trust.”</w:t>
      </w:r>
    </w:p>
    <w:p>
      <w:pPr>
        <w:pStyle w:val="ListBullet"/>
      </w:pPr>
      <w:r>
        <w:t>“What if you could have someone accountable on the ground in Nigeria?”</w:t>
      </w:r>
    </w:p>
    <w:p>
      <w:pPr>
        <w:pStyle w:val="ListBullet"/>
      </w:pPr>
      <w:r>
        <w:t>“Distance is hard. Uncertainty makes it harder.”</w:t>
      </w:r>
    </w:p>
    <w:p>
      <w:pPr>
        <w:pStyle w:val="ListBullet"/>
      </w:pPr>
      <w:r>
        <w:t>“Your family shouldn't have to become your project manager.”</w:t>
      </w:r>
    </w:p>
    <w:p>
      <w:pPr>
        <w:pStyle w:val="ListBullet"/>
      </w:pPr>
      <w:r>
        <w:t>“When you can't be there, representation matters.”</w:t>
      </w:r>
    </w:p>
    <w:p>
      <w:pPr>
        <w:pStyle w:val="ListBullet"/>
      </w:pPr>
      <w:r>
        <w:t>“Don't just send money. Know what happened.”</w:t>
      </w:r>
    </w:p>
    <w:p>
      <w:pPr>
        <w:pStyle w:val="Heading1"/>
      </w:pPr>
      <w:r>
        <w:t>28. Important Messaging Guardrail</w:t>
      </w:r>
    </w:p>
    <w:p>
      <w:r>
        <w:rPr>
          <w:b/>
        </w:rPr>
        <w:t>Some hooks above are campaign examples, not claims of universal customer pain. They should be tested with real customers before becoming permanent brand language.</w:t>
      </w:r>
    </w:p>
    <w:p>
      <w:pPr>
        <w:pStyle w:val="Heading1"/>
      </w:pPr>
      <w:r>
        <w:t>29. Email/WhatsApp Style</w:t>
      </w:r>
    </w:p>
    <w:p>
      <w:r>
        <w:rPr>
          <w:b w:val="0"/>
        </w:rPr>
        <w:t>Customer messages should feel like a capable person helping you—not like an automated corporate system.</w:t>
      </w:r>
    </w:p>
    <w:p>
      <w:pPr>
        <w:pStyle w:val="ListBullet"/>
      </w:pPr>
      <w:r>
        <w:t>Short paragraphs.</w:t>
      </w:r>
    </w:p>
    <w:p>
      <w:pPr>
        <w:pStyle w:val="ListBullet"/>
      </w:pPr>
      <w:r>
        <w:t>Clear next step.</w:t>
      </w:r>
    </w:p>
    <w:p>
      <w:pPr>
        <w:pStyle w:val="ListBullet"/>
      </w:pPr>
      <w:r>
        <w:t>Specific case reference.</w:t>
      </w:r>
    </w:p>
    <w:p>
      <w:pPr>
        <w:pStyle w:val="ListBullet"/>
      </w:pPr>
      <w:r>
        <w:t>Warm opening.</w:t>
      </w:r>
    </w:p>
    <w:p>
      <w:pPr>
        <w:pStyle w:val="ListBullet"/>
      </w:pPr>
      <w:r>
        <w:t>Transparent status.</w:t>
      </w:r>
    </w:p>
    <w:p>
      <w:pPr>
        <w:pStyle w:val="ListBullet"/>
      </w:pPr>
      <w:r>
        <w:t>Clear request when customer action is needed.</w:t>
      </w:r>
    </w:p>
    <w:p>
      <w:pPr>
        <w:pStyle w:val="ListBullet"/>
      </w:pPr>
      <w:r>
        <w:t>Simple closing.</w:t>
      </w:r>
    </w:p>
    <w:p>
      <w:pPr>
        <w:pStyle w:val="Heading1"/>
      </w:pPr>
      <w:r>
        <w:t>30. Example Customer Update</w:t>
      </w:r>
    </w:p>
    <w:p>
      <w:r>
        <w:rPr>
          <w:b w:val="0"/>
        </w:rPr>
        <w:t>“Quick update: your request has been assigned and the next step is scheduled. We’ll confirm the outcome once the work is completed and reviewed. If anything changes that affects the agreed scope or timing, we’ll let you know first.”</w:t>
      </w:r>
    </w:p>
    <w:p>
      <w:pPr>
        <w:pStyle w:val="Heading1"/>
      </w:pPr>
      <w:r>
        <w:t>31. Example Delay Message</w:t>
      </w:r>
    </w:p>
    <w:p>
      <w:r>
        <w:rPr>
          <w:b w:val="0"/>
        </w:rPr>
        <w:t>“There’s a delay affecting the next step of your request. We’re checking the issue now rather than proceeding without clarity. We’ll update you as soon as we have a confirmed next step.”</w:t>
      </w:r>
    </w:p>
    <w:p>
      <w:pPr>
        <w:pStyle w:val="Heading1"/>
      </w:pPr>
      <w:r>
        <w:t>32. Example Evidence Message</w:t>
      </w:r>
    </w:p>
    <w:p>
      <w:r>
        <w:rPr>
          <w:b w:val="0"/>
        </w:rPr>
        <w:t>“The requested work has been completed and the evidence is now being reviewed. We’ll share the confirmed outcome once the review is complete.”</w:t>
      </w:r>
    </w:p>
    <w:p>
      <w:pPr>
        <w:pStyle w:val="Heading1"/>
      </w:pPr>
      <w:r>
        <w:t>33. Example Complaint Response Style</w:t>
      </w:r>
    </w:p>
    <w:p>
      <w:r>
        <w:rPr>
          <w:b w:val="0"/>
        </w:rPr>
        <w:t>“Thank you for raising this. We’ve linked your concern to the case and assigned it for review. We’ll first verify what happened against the agreed scope and then come back to you with the next step.”</w:t>
      </w:r>
    </w:p>
    <w:p>
      <w:pPr>
        <w:pStyle w:val="Heading1"/>
      </w:pPr>
      <w:r>
        <w:t>34. Sales Conversation Framework</w:t>
      </w:r>
    </w:p>
    <w:p>
      <w:pPr>
        <w:pStyle w:val="ListNumber"/>
      </w:pPr>
      <w:r>
        <w:t>Start with the customer's situation.</w:t>
      </w:r>
    </w:p>
    <w:p>
      <w:pPr>
        <w:pStyle w:val="ListNumber"/>
      </w:pPr>
      <w:r>
        <w:t>Ask what they need to have handled.</w:t>
      </w:r>
    </w:p>
    <w:p>
      <w:pPr>
        <w:pStyle w:val="ListNumber"/>
      </w:pPr>
      <w:r>
        <w:t>Understand why they cannot handle it themselves.</w:t>
      </w:r>
    </w:p>
    <w:p>
      <w:pPr>
        <w:pStyle w:val="ListNumber"/>
      </w:pPr>
      <w:r>
        <w:t>Identify the trust concern.</w:t>
      </w:r>
    </w:p>
    <w:p>
      <w:pPr>
        <w:pStyle w:val="ListNumber"/>
      </w:pPr>
      <w:r>
        <w:t>Explain ASOJU's representation model.</w:t>
      </w:r>
    </w:p>
    <w:p>
      <w:pPr>
        <w:pStyle w:val="ListNumber"/>
      </w:pPr>
      <w:r>
        <w:t>Define scope.</w:t>
      </w:r>
    </w:p>
    <w:p>
      <w:pPr>
        <w:pStyle w:val="ListNumber"/>
      </w:pPr>
      <w:r>
        <w:t>Explain evidence and accountability.</w:t>
      </w:r>
    </w:p>
    <w:p>
      <w:pPr>
        <w:pStyle w:val="ListNumber"/>
      </w:pPr>
      <w:r>
        <w:t>Present price transparently.</w:t>
      </w:r>
    </w:p>
    <w:p>
      <w:pPr>
        <w:pStyle w:val="ListNumber"/>
      </w:pPr>
      <w:r>
        <w:t>Confirm the next step.</w:t>
      </w:r>
    </w:p>
    <w:p>
      <w:pPr>
        <w:pStyle w:val="Heading1"/>
      </w:pPr>
      <w:r>
        <w:t>35. Sales Language</w:t>
      </w:r>
    </w:p>
    <w:p>
      <w:r>
        <w:rPr>
          <w:b w:val="0"/>
        </w:rPr>
        <w:t>Instead of: “We offer many services in Nigeria.”</w:t>
      </w:r>
    </w:p>
    <w:p>
      <w:r>
        <w:rPr>
          <w:b/>
        </w:rPr>
        <w:t>Prefer: “Tell us what you need handled back home, and we’ll help determine the right way to represent you.”</w:t>
      </w:r>
    </w:p>
    <w:p>
      <w:r>
        <w:rPr>
          <w:b w:val="0"/>
        </w:rPr>
        <w:t>Instead of: “We have agents everywhere.”</w:t>
      </w:r>
    </w:p>
    <w:p>
      <w:r>
        <w:rPr>
          <w:b/>
        </w:rPr>
        <w:t>Prefer: “We coordinate trusted local support for the work we accept.”</w:t>
      </w:r>
    </w:p>
    <w:p>
      <w:r>
        <w:rPr>
          <w:b w:val="0"/>
        </w:rPr>
        <w:t>Instead of: “We guarantee everything will be perfect.”</w:t>
      </w:r>
    </w:p>
    <w:p>
      <w:r>
        <w:rPr>
          <w:b/>
        </w:rPr>
        <w:t>Prefer: “We define the scope clearly, coordinate the work and provide evidence of the outcome.”</w:t>
      </w:r>
    </w:p>
    <w:p>
      <w:pPr>
        <w:pStyle w:val="Heading1"/>
      </w:pPr>
      <w:r>
        <w:t>36. Partnership Messaging</w:t>
      </w:r>
    </w:p>
    <w:p>
      <w:r>
        <w:rPr>
          <w:b w:val="0"/>
        </w:rPr>
        <w:t>ASOJU partners with organizations and communities that serve people abroad by giving their members a trusted way to get important matters handled back home in Nigeria.</w:t>
      </w:r>
    </w:p>
    <w:p>
      <w:r>
        <w:rPr>
          <w:b w:val="0"/>
        </w:rPr>
        <w:t>Partnership promise: extend trusted support to diaspora communities without requiring the partner to become an operations company.</w:t>
      </w:r>
    </w:p>
    <w:p>
      <w:pPr>
        <w:pStyle w:val="Heading1"/>
      </w:pPr>
      <w:r>
        <w:t>37. Referral Messaging</w:t>
      </w:r>
    </w:p>
    <w:p>
      <w:r>
        <w:rPr>
          <w:b w:val="0"/>
        </w:rPr>
        <w:t>Referral should feel like sharing a trusted solution, not pushing a promotion.</w:t>
      </w:r>
    </w:p>
    <w:p>
      <w:r>
        <w:rPr>
          <w:b w:val="0"/>
        </w:rPr>
        <w:t>Recommended direction:</w:t>
      </w:r>
    </w:p>
    <w:p>
      <w:r>
        <w:rPr>
          <w:b/>
        </w:rPr>
        <w:t>“Know someone abroad who needs a trusted rep back home? Introduce them to ASOJU.”</w:t>
      </w:r>
    </w:p>
    <w:p>
      <w:pPr>
        <w:pStyle w:val="Heading1"/>
      </w:pPr>
      <w:r>
        <w:t>38. Brand Campaign Territory</w:t>
      </w:r>
    </w:p>
    <w:p>
      <w:r>
        <w:rPr>
          <w:b/>
        </w:rPr>
        <w:t>Master campaign territory:</w:t>
      </w:r>
    </w:p>
    <w:p>
      <w:r>
        <w:rPr>
          <w:b w:val="0"/>
        </w:rPr>
        <w:t>“BE THERE, EVEN WHEN YOU CAN'T BE THERE.”</w:t>
      </w:r>
    </w:p>
    <w:p>
      <w:r>
        <w:rPr>
          <w:b w:val="0"/>
        </w:rPr>
        <w:t>This should be treated as a campaign platform rather than replacing the primary tagline.</w:t>
      </w:r>
    </w:p>
    <w:p>
      <w:r>
        <w:rPr>
          <w:b w:val="0"/>
        </w:rPr>
        <w:t>Campaign support:</w:t>
      </w:r>
    </w:p>
    <w:p>
      <w:r>
        <w:rPr>
          <w:b w:val="0"/>
        </w:rPr>
        <w:t>ASOJU — Your Trusted Rep Back Home.</w:t>
      </w:r>
    </w:p>
    <w:p>
      <w:pPr>
        <w:pStyle w:val="Heading1"/>
      </w:pPr>
      <w:r>
        <w:t>39. Campaign Message Variations</w:t>
      </w:r>
    </w:p>
    <w:p>
      <w:pPr>
        <w:pStyle w:val="ListBullet"/>
      </w:pPr>
      <w:r>
        <w:t>Be there for the appointment.</w:t>
      </w:r>
    </w:p>
    <w:p>
      <w:pPr>
        <w:pStyle w:val="ListBullet"/>
      </w:pPr>
      <w:r>
        <w:t>Be there for the property.</w:t>
      </w:r>
    </w:p>
    <w:p>
      <w:pPr>
        <w:pStyle w:val="ListBullet"/>
      </w:pPr>
      <w:r>
        <w:t>Be there for the paperwork.</w:t>
      </w:r>
    </w:p>
    <w:p>
      <w:pPr>
        <w:pStyle w:val="ListBullet"/>
      </w:pPr>
      <w:r>
        <w:t>Be there for the people who matter.</w:t>
      </w:r>
    </w:p>
    <w:p>
      <w:pPr>
        <w:pStyle w:val="ListBullet"/>
      </w:pPr>
      <w:r>
        <w:t>Be there for what matters—even from abroad.</w:t>
      </w:r>
    </w:p>
    <w:p>
      <w:pPr>
        <w:pStyle w:val="Heading1"/>
      </w:pPr>
      <w:r>
        <w:t>40. Brand Narrative Arc</w:t>
      </w:r>
    </w:p>
    <w:p>
      <w:r>
        <w:rPr>
          <w:b/>
        </w:rPr>
        <w:t>FAR AWAY → STILL RESPONSIBLE → CAN'T BE EVERYWHERE → NEED SOMEONE TRUSTWORTHY → ASOJU REPRESENTS YOU → SEE WHAT HAPPENED → FEEL PRESENT</w:t>
      </w:r>
    </w:p>
    <w:p>
      <w:pPr>
        <w:pStyle w:val="Heading1"/>
      </w:pPr>
      <w:r>
        <w:t>41. Proof Language</w:t>
      </w:r>
    </w:p>
    <w:p>
      <w:r>
        <w:rPr>
          <w:b w:val="0"/>
        </w:rPr>
        <w:t>ASOJU should increasingly communicate trust through concrete proof points:</w:t>
      </w:r>
    </w:p>
    <w:p>
      <w:pPr>
        <w:pStyle w:val="ListBullet"/>
      </w:pPr>
      <w:r>
        <w:t>Who is assigned.</w:t>
      </w:r>
    </w:p>
    <w:p>
      <w:pPr>
        <w:pStyle w:val="ListBullet"/>
      </w:pPr>
      <w:r>
        <w:t>What was agreed.</w:t>
      </w:r>
    </w:p>
    <w:p>
      <w:pPr>
        <w:pStyle w:val="ListBullet"/>
      </w:pPr>
      <w:r>
        <w:t>When it happened.</w:t>
      </w:r>
    </w:p>
    <w:p>
      <w:pPr>
        <w:pStyle w:val="ListBullet"/>
      </w:pPr>
      <w:r>
        <w:t>What evidence was captured.</w:t>
      </w:r>
    </w:p>
    <w:p>
      <w:pPr>
        <w:pStyle w:val="ListBullet"/>
      </w:pPr>
      <w:r>
        <w:t>Who reviewed it.</w:t>
      </w:r>
    </w:p>
    <w:p>
      <w:pPr>
        <w:pStyle w:val="ListBullet"/>
      </w:pPr>
      <w:r>
        <w:t>What was delivered.</w:t>
      </w:r>
    </w:p>
    <w:p>
      <w:pPr>
        <w:pStyle w:val="ListBullet"/>
      </w:pPr>
      <w:r>
        <w:t>What happens next.</w:t>
      </w:r>
    </w:p>
    <w:p>
      <w:r>
        <w:rPr>
          <w:b w:val="0"/>
        </w:rPr>
        <w:t>These are stronger than generic claims such as “best,” “most reliable” or “number one.”</w:t>
      </w:r>
    </w:p>
    <w:p>
      <w:pPr>
        <w:pStyle w:val="Heading1"/>
      </w:pPr>
      <w:r>
        <w:t>42. Product Microcopy Principles</w:t>
      </w:r>
    </w:p>
    <w:p>
      <w:pPr>
        <w:pStyle w:val="ListBullet"/>
      </w:pPr>
      <w:r>
        <w:t>Use customer language, not internal terminology.</w:t>
      </w:r>
    </w:p>
    <w:p>
      <w:pPr>
        <w:pStyle w:val="ListBullet"/>
      </w:pPr>
      <w:r>
        <w:t>Explain states in plain English.</w:t>
      </w:r>
    </w:p>
    <w:p>
      <w:pPr>
        <w:pStyle w:val="ListBullet"/>
      </w:pPr>
      <w:r>
        <w:t>Make actions obvious.</w:t>
      </w:r>
    </w:p>
    <w:p>
      <w:pPr>
        <w:pStyle w:val="ListBullet"/>
      </w:pPr>
      <w:r>
        <w:t>Explain why information is needed.</w:t>
      </w:r>
    </w:p>
    <w:p>
      <w:pPr>
        <w:pStyle w:val="ListBullet"/>
      </w:pPr>
      <w:r>
        <w:t>Use calm error messages.</w:t>
      </w:r>
    </w:p>
    <w:p>
      <w:pPr>
        <w:pStyle w:val="ListBullet"/>
      </w:pPr>
      <w:r>
        <w:t>Never blame the customer.</w:t>
      </w:r>
    </w:p>
    <w:p>
      <w:pPr>
        <w:pStyle w:val="ListBullet"/>
      </w:pPr>
      <w:r>
        <w:t>Make evidence and status understandable.</w:t>
      </w:r>
    </w:p>
    <w:p>
      <w:pPr>
        <w:pStyle w:val="Heading1"/>
      </w:pPr>
      <w:r>
        <w:t>43. Error Message Style</w:t>
      </w:r>
    </w:p>
    <w:p>
      <w:r>
        <w:rPr>
          <w:b w:val="0"/>
        </w:rPr>
        <w:t>Avoid: “Invalid transition.”</w:t>
      </w:r>
    </w:p>
    <w:p>
      <w:r>
        <w:rPr>
          <w:b/>
        </w:rPr>
        <w:t>Prefer: “This case can't move to the next step yet. The quote still needs customer approval.”</w:t>
      </w:r>
    </w:p>
    <w:p>
      <w:r>
        <w:rPr>
          <w:b w:val="0"/>
        </w:rPr>
        <w:t>Avoid: “403 Forbidden.”</w:t>
      </w:r>
    </w:p>
    <w:p>
      <w:r>
        <w:rPr>
          <w:b/>
        </w:rPr>
        <w:t>Prefer customer-facing equivalent: “You don't have access to this case.”</w:t>
      </w:r>
    </w:p>
    <w:p>
      <w:pPr>
        <w:pStyle w:val="Heading1"/>
      </w:pPr>
      <w:r>
        <w:t>44. Brand Trust Language</w:t>
      </w:r>
    </w:p>
    <w:tbl>
      <w:tblPr>
        <w:tblStyle w:val="TableGrid"/>
        <w:tblW w:type="auto" w:w="0"/>
        <w:jc w:val="center"/>
        <w:tblLook w:firstColumn="1" w:firstRow="1" w:lastColumn="0" w:lastRow="0" w:noHBand="0" w:noVBand="1" w:val="04A0"/>
      </w:tblPr>
      <w:tblGrid>
        <w:gridCol w:w="5112"/>
        <w:gridCol w:w="5112"/>
      </w:tblGrid>
      <w:tr>
        <w:tc>
          <w:tcPr>
            <w:tcW w:type="dxa" w:w="5112"/>
          </w:tcPr>
          <w:p>
            <w:r>
              <w:t>Weak</w:t>
            </w:r>
          </w:p>
        </w:tc>
        <w:tc>
          <w:tcPr>
            <w:tcW w:type="dxa" w:w="5112"/>
          </w:tcPr>
          <w:p>
            <w:r>
              <w:t>Stronger</w:t>
            </w:r>
          </w:p>
        </w:tc>
      </w:tr>
      <w:tr>
        <w:tc>
          <w:tcPr>
            <w:tcW w:type="dxa" w:w="5112"/>
          </w:tcPr>
          <w:p>
            <w:r>
              <w:t>“We are reliable.”</w:t>
            </w:r>
          </w:p>
        </w:tc>
        <w:tc>
          <w:tcPr>
            <w:tcW w:type="dxa" w:w="5112"/>
          </w:tcPr>
          <w:p>
            <w:r>
              <w:t>“You can see who is handling the request and what happened.”</w:t>
            </w:r>
          </w:p>
        </w:tc>
      </w:tr>
      <w:tr>
        <w:tc>
          <w:tcPr>
            <w:tcW w:type="dxa" w:w="5112"/>
          </w:tcPr>
          <w:p>
            <w:r>
              <w:t>“We are transparent.”</w:t>
            </w:r>
          </w:p>
        </w:tc>
        <w:tc>
          <w:tcPr>
            <w:tcW w:type="dxa" w:w="5112"/>
          </w:tcPr>
          <w:p>
            <w:r>
              <w:t>“The scope, price and next step are clear before work begins.”</w:t>
            </w:r>
          </w:p>
        </w:tc>
      </w:tr>
      <w:tr>
        <w:tc>
          <w:tcPr>
            <w:tcW w:type="dxa" w:w="5112"/>
          </w:tcPr>
          <w:p>
            <w:r>
              <w:t>“We care about customers.”</w:t>
            </w:r>
          </w:p>
        </w:tc>
        <w:tc>
          <w:tcPr>
            <w:tcW w:type="dxa" w:w="5112"/>
          </w:tcPr>
          <w:p>
            <w:r>
              <w:t>“If something changes, we tell you before acting outside the agreed scope.”</w:t>
            </w:r>
          </w:p>
        </w:tc>
      </w:tr>
      <w:tr>
        <w:tc>
          <w:tcPr>
            <w:tcW w:type="dxa" w:w="5112"/>
          </w:tcPr>
          <w:p>
            <w:r>
              <w:t>“We provide quality.”</w:t>
            </w:r>
          </w:p>
        </w:tc>
        <w:tc>
          <w:tcPr>
            <w:tcW w:type="dxa" w:w="5112"/>
          </w:tcPr>
          <w:p>
            <w:r>
              <w:t>“Evidence is reviewed before the outcome is delivered.”</w:t>
            </w:r>
          </w:p>
        </w:tc>
      </w:tr>
    </w:tbl>
    <w:p>
      <w:pPr>
        <w:pStyle w:val="Heading1"/>
      </w:pPr>
      <w:r>
        <w:t>45. Messaging for the Family Use Case</w:t>
      </w:r>
    </w:p>
    <w:p>
      <w:r>
        <w:rPr>
          <w:b w:val="0"/>
        </w:rPr>
        <w:t>Lead with support and responsibility, not guilt.</w:t>
      </w:r>
    </w:p>
    <w:p>
      <w:pPr>
        <w:pStyle w:val="ListBullet"/>
      </w:pPr>
      <w:r>
        <w:t>“Support your family from wherever you are.”</w:t>
      </w:r>
    </w:p>
    <w:p>
      <w:pPr>
        <w:pStyle w:val="ListBullet"/>
      </w:pPr>
      <w:r>
        <w:t>“Be present for the things that matter.”</w:t>
      </w:r>
    </w:p>
    <w:p>
      <w:pPr>
        <w:pStyle w:val="ListBullet"/>
      </w:pPr>
      <w:r>
        <w:t>“Someone you trust can help when you can't be there.”</w:t>
      </w:r>
    </w:p>
    <w:p>
      <w:r>
        <w:rPr>
          <w:b w:val="0"/>
        </w:rPr>
        <w:t>Avoid messaging that suggests living abroad makes someone a bad family member.</w:t>
      </w:r>
    </w:p>
    <w:p>
      <w:pPr>
        <w:pStyle w:val="Heading1"/>
      </w:pPr>
      <w:r>
        <w:t>46. Messaging for Property/Asset Use Cases</w:t>
      </w:r>
    </w:p>
    <w:p>
      <w:pPr>
        <w:pStyle w:val="ListBullet"/>
      </w:pPr>
      <w:r>
        <w:t>“Keep an eye on what you own back home.”</w:t>
      </w:r>
    </w:p>
    <w:p>
      <w:pPr>
        <w:pStyle w:val="ListBullet"/>
      </w:pPr>
      <w:r>
        <w:t>“When you can't be there, have someone accountable on the ground.”</w:t>
      </w:r>
    </w:p>
    <w:p>
      <w:pPr>
        <w:pStyle w:val="ListBullet"/>
      </w:pPr>
      <w:r>
        <w:t>“Know what happened, not just what you were told.”</w:t>
      </w:r>
    </w:p>
    <w:p>
      <w:pPr>
        <w:pStyle w:val="Heading1"/>
      </w:pPr>
      <w:r>
        <w:t>47. Messaging for Business/Professional Use Cases</w:t>
      </w:r>
    </w:p>
    <w:p>
      <w:pPr>
        <w:pStyle w:val="ListBullet"/>
      </w:pPr>
      <w:r>
        <w:t>“Have trusted representation on the ground in Nigeria.”</w:t>
      </w:r>
    </w:p>
    <w:p>
      <w:pPr>
        <w:pStyle w:val="ListBullet"/>
      </w:pPr>
      <w:r>
        <w:t>“Coordinate local support without managing every detail yourself.”</w:t>
      </w:r>
    </w:p>
    <w:p>
      <w:pPr>
        <w:pStyle w:val="ListBullet"/>
      </w:pPr>
      <w:r>
        <w:t>“Turn distance into accountable local execution.”</w:t>
      </w:r>
    </w:p>
    <w:p>
      <w:pPr>
        <w:pStyle w:val="Heading1"/>
      </w:pPr>
      <w:r>
        <w:t>48. Messaging for High-Trust Cases</w:t>
      </w:r>
    </w:p>
    <w:p>
      <w:r>
        <w:rPr>
          <w:b w:val="0"/>
        </w:rPr>
        <w:t>For sensitive or high-stakes matters, lead with process rather than emotional marketing.</w:t>
      </w:r>
    </w:p>
    <w:p>
      <w:pPr>
        <w:pStyle w:val="ListBullet"/>
      </w:pPr>
      <w:r>
        <w:t>Clear scope.</w:t>
      </w:r>
    </w:p>
    <w:p>
      <w:pPr>
        <w:pStyle w:val="ListBullet"/>
      </w:pPr>
      <w:r>
        <w:t>Named responsibility.</w:t>
      </w:r>
    </w:p>
    <w:p>
      <w:pPr>
        <w:pStyle w:val="ListBullet"/>
      </w:pPr>
      <w:r>
        <w:t>Defined evidence.</w:t>
      </w:r>
    </w:p>
    <w:p>
      <w:pPr>
        <w:pStyle w:val="ListBullet"/>
      </w:pPr>
      <w:r>
        <w:t>Approval before material changes.</w:t>
      </w:r>
    </w:p>
    <w:p>
      <w:pPr>
        <w:pStyle w:val="ListBullet"/>
      </w:pPr>
      <w:r>
        <w:t>Escalation when uncertainty appears.</w:t>
      </w:r>
    </w:p>
    <w:p>
      <w:pPr>
        <w:pStyle w:val="ListBullet"/>
      </w:pPr>
      <w:r>
        <w:t>Documented outcome.</w:t>
      </w:r>
    </w:p>
    <w:p>
      <w:pPr>
        <w:pStyle w:val="Heading1"/>
      </w:pPr>
      <w:r>
        <w:t>49. Brand Message Testing</w:t>
      </w:r>
    </w:p>
    <w:tbl>
      <w:tblPr>
        <w:tblStyle w:val="TableGrid"/>
        <w:tblW w:type="auto" w:w="0"/>
        <w:jc w:val="center"/>
        <w:tblLook w:firstColumn="1" w:firstRow="1" w:lastColumn="0" w:lastRow="0" w:noHBand="0" w:noVBand="1" w:val="04A0"/>
      </w:tblPr>
      <w:tblGrid>
        <w:gridCol w:w="5112"/>
        <w:gridCol w:w="5112"/>
      </w:tblGrid>
      <w:tr>
        <w:tc>
          <w:tcPr>
            <w:tcW w:type="dxa" w:w="5112"/>
          </w:tcPr>
          <w:p>
            <w:r>
              <w:t>Test</w:t>
            </w:r>
          </w:p>
        </w:tc>
        <w:tc>
          <w:tcPr>
            <w:tcW w:type="dxa" w:w="5112"/>
          </w:tcPr>
          <w:p>
            <w:r>
              <w:t>Measure</w:t>
            </w:r>
          </w:p>
        </w:tc>
      </w:tr>
      <w:tr>
        <w:tc>
          <w:tcPr>
            <w:tcW w:type="dxa" w:w="5112"/>
          </w:tcPr>
          <w:p>
            <w:r>
              <w:t>Tagline association</w:t>
            </w:r>
          </w:p>
        </w:tc>
        <w:tc>
          <w:tcPr>
            <w:tcW w:type="dxa" w:w="5112"/>
          </w:tcPr>
          <w:p>
            <w:r>
              <w:t>What people remember after exposure.</w:t>
            </w:r>
          </w:p>
        </w:tc>
      </w:tr>
      <w:tr>
        <w:tc>
          <w:tcPr>
            <w:tcW w:type="dxa" w:w="5112"/>
          </w:tcPr>
          <w:p>
            <w:r>
              <w:t>Category comprehension</w:t>
            </w:r>
          </w:p>
        </w:tc>
        <w:tc>
          <w:tcPr>
            <w:tcW w:type="dxa" w:w="5112"/>
          </w:tcPr>
          <w:p>
            <w:r>
              <w:t>What people think ASOJU actually is.</w:t>
            </w:r>
          </w:p>
        </w:tc>
      </w:tr>
      <w:tr>
        <w:tc>
          <w:tcPr>
            <w:tcW w:type="dxa" w:w="5112"/>
          </w:tcPr>
          <w:p>
            <w:r>
              <w:t>Trust response</w:t>
            </w:r>
          </w:p>
        </w:tc>
        <w:tc>
          <w:tcPr>
            <w:tcW w:type="dxa" w:w="5112"/>
          </w:tcPr>
          <w:p>
            <w:r>
              <w:t>Whether the message increases confidence.</w:t>
            </w:r>
          </w:p>
        </w:tc>
      </w:tr>
      <w:tr>
        <w:tc>
          <w:tcPr>
            <w:tcW w:type="dxa" w:w="5112"/>
          </w:tcPr>
          <w:p>
            <w:r>
              <w:t>Problem resonance</w:t>
            </w:r>
          </w:p>
        </w:tc>
        <w:tc>
          <w:tcPr>
            <w:tcW w:type="dxa" w:w="5112"/>
          </w:tcPr>
          <w:p>
            <w:r>
              <w:t>Whether diaspora customers recognize the problem.</w:t>
            </w:r>
          </w:p>
        </w:tc>
      </w:tr>
      <w:tr>
        <w:tc>
          <w:tcPr>
            <w:tcW w:type="dxa" w:w="5112"/>
          </w:tcPr>
          <w:p>
            <w:r>
              <w:t>CTA comprehension</w:t>
            </w:r>
          </w:p>
        </w:tc>
        <w:tc>
          <w:tcPr>
            <w:tcW w:type="dxa" w:w="5112"/>
          </w:tcPr>
          <w:p>
            <w:r>
              <w:t>Whether customers know what to do next.</w:t>
            </w:r>
          </w:p>
        </w:tc>
      </w:tr>
      <w:tr>
        <w:tc>
          <w:tcPr>
            <w:tcW w:type="dxa" w:w="5112"/>
          </w:tcPr>
          <w:p>
            <w:r>
              <w:t>Conversion</w:t>
            </w:r>
          </w:p>
        </w:tc>
        <w:tc>
          <w:tcPr>
            <w:tcW w:type="dxa" w:w="5112"/>
          </w:tcPr>
          <w:p>
            <w:r>
              <w:t>Whether messaging produces qualified requests.</w:t>
            </w:r>
          </w:p>
        </w:tc>
      </w:tr>
      <w:tr>
        <w:tc>
          <w:tcPr>
            <w:tcW w:type="dxa" w:w="5112"/>
          </w:tcPr>
          <w:p>
            <w:r>
              <w:t>Referral language</w:t>
            </w:r>
          </w:p>
        </w:tc>
        <w:tc>
          <w:tcPr>
            <w:tcW w:type="dxa" w:w="5112"/>
          </w:tcPr>
          <w:p>
            <w:r>
              <w:t>Whether customers feel comfortable recommending ASOJU.</w:t>
            </w:r>
          </w:p>
        </w:tc>
      </w:tr>
    </w:tbl>
    <w:p>
      <w:pPr>
        <w:pStyle w:val="Heading1"/>
      </w:pPr>
      <w:r>
        <w:t>50. Message Testing Questions</w:t>
      </w:r>
    </w:p>
    <w:p>
      <w:pPr>
        <w:pStyle w:val="ListBullet"/>
      </w:pPr>
      <w:r>
        <w:t>What do you think ASOJU does?</w:t>
      </w:r>
    </w:p>
    <w:p>
      <w:pPr>
        <w:pStyle w:val="ListBullet"/>
      </w:pPr>
      <w:r>
        <w:t>Who do you think ASOJU is for?</w:t>
      </w:r>
    </w:p>
    <w:p>
      <w:pPr>
        <w:pStyle w:val="ListBullet"/>
      </w:pPr>
      <w:r>
        <w:t>What does “Your Trusted Rep Back Home” mean to you?</w:t>
      </w:r>
    </w:p>
    <w:p>
      <w:pPr>
        <w:pStyle w:val="ListBullet"/>
      </w:pPr>
      <w:r>
        <w:t>What would make you trust a company like ASOJU?</w:t>
      </w:r>
    </w:p>
    <w:p>
      <w:pPr>
        <w:pStyle w:val="ListBullet"/>
      </w:pPr>
      <w:r>
        <w:t>What would make you hesitate?</w:t>
      </w:r>
    </w:p>
    <w:p>
      <w:pPr>
        <w:pStyle w:val="ListBullet"/>
      </w:pPr>
      <w:r>
        <w:t>What would you expect ASOJU to handle?</w:t>
      </w:r>
    </w:p>
    <w:p>
      <w:pPr>
        <w:pStyle w:val="ListBullet"/>
      </w:pPr>
      <w:r>
        <w:t>Would you recommend this to someone living abroad? Why?</w:t>
      </w:r>
    </w:p>
    <w:p>
      <w:pPr>
        <w:pStyle w:val="Heading1"/>
      </w:pPr>
      <w:r>
        <w:t>51. Verbal Identity Do/Don't</w:t>
      </w:r>
    </w:p>
    <w:tbl>
      <w:tblPr>
        <w:tblStyle w:val="TableGrid"/>
        <w:tblW w:type="auto" w:w="0"/>
        <w:jc w:val="center"/>
        <w:tblLook w:firstColumn="1" w:firstRow="1" w:lastColumn="0" w:lastRow="0" w:noHBand="0" w:noVBand="1" w:val="04A0"/>
      </w:tblPr>
      <w:tblGrid>
        <w:gridCol w:w="5112"/>
        <w:gridCol w:w="5112"/>
      </w:tblGrid>
      <w:tr>
        <w:tc>
          <w:tcPr>
            <w:tcW w:type="dxa" w:w="5112"/>
          </w:tcPr>
          <w:p>
            <w:r>
              <w:t>Do</w:t>
            </w:r>
          </w:p>
        </w:tc>
        <w:tc>
          <w:tcPr>
            <w:tcW w:type="dxa" w:w="5112"/>
          </w:tcPr>
          <w:p>
            <w:r>
              <w:t>Don't</w:t>
            </w:r>
          </w:p>
        </w:tc>
      </w:tr>
      <w:tr>
        <w:tc>
          <w:tcPr>
            <w:tcW w:type="dxa" w:w="5112"/>
          </w:tcPr>
          <w:p>
            <w:r>
              <w:t>Say what will happen next.</w:t>
            </w:r>
          </w:p>
        </w:tc>
        <w:tc>
          <w:tcPr>
            <w:tcW w:type="dxa" w:w="5112"/>
          </w:tcPr>
          <w:p>
            <w:r>
              <w:t>Use vague reassurance.</w:t>
            </w:r>
          </w:p>
        </w:tc>
      </w:tr>
      <w:tr>
        <w:tc>
          <w:tcPr>
            <w:tcW w:type="dxa" w:w="5112"/>
          </w:tcPr>
          <w:p>
            <w:r>
              <w:t>Show accountability.</w:t>
            </w:r>
          </w:p>
        </w:tc>
        <w:tc>
          <w:tcPr>
            <w:tcW w:type="dxa" w:w="5112"/>
          </w:tcPr>
          <w:p>
            <w:r>
              <w:t>Claim trust without proof.</w:t>
            </w:r>
          </w:p>
        </w:tc>
      </w:tr>
      <w:tr>
        <w:tc>
          <w:tcPr>
            <w:tcW w:type="dxa" w:w="5112"/>
          </w:tcPr>
          <w:p>
            <w:r>
              <w:t>Use human language.</w:t>
            </w:r>
          </w:p>
        </w:tc>
        <w:tc>
          <w:tcPr>
            <w:tcW w:type="dxa" w:w="5112"/>
          </w:tcPr>
          <w:p>
            <w:r>
              <w:t>Use corporate jargon.</w:t>
            </w:r>
          </w:p>
        </w:tc>
      </w:tr>
      <w:tr>
        <w:tc>
          <w:tcPr>
            <w:tcW w:type="dxa" w:w="5112"/>
          </w:tcPr>
          <w:p>
            <w:r>
              <w:t>Respect distance and family responsibility.</w:t>
            </w:r>
          </w:p>
        </w:tc>
        <w:tc>
          <w:tcPr>
            <w:tcW w:type="dxa" w:w="5112"/>
          </w:tcPr>
          <w:p>
            <w:r>
              <w:t>Use guilt or fear.</w:t>
            </w:r>
          </w:p>
        </w:tc>
      </w:tr>
      <w:tr>
        <w:tc>
          <w:tcPr>
            <w:tcW w:type="dxa" w:w="5112"/>
          </w:tcPr>
          <w:p>
            <w:r>
              <w:t>Explain scope.</w:t>
            </w:r>
          </w:p>
        </w:tc>
        <w:tc>
          <w:tcPr>
            <w:tcW w:type="dxa" w:w="5112"/>
          </w:tcPr>
          <w:p>
            <w:r>
              <w:t>Hide exclusions.</w:t>
            </w:r>
          </w:p>
        </w:tc>
      </w:tr>
      <w:tr>
        <w:tc>
          <w:tcPr>
            <w:tcW w:type="dxa" w:w="5112"/>
          </w:tcPr>
          <w:p>
            <w:r>
              <w:t>Use evidence.</w:t>
            </w:r>
          </w:p>
        </w:tc>
        <w:tc>
          <w:tcPr>
            <w:tcW w:type="dxa" w:w="5112"/>
          </w:tcPr>
          <w:p>
            <w:r>
              <w:t>Overstate outcomes.</w:t>
            </w:r>
          </w:p>
        </w:tc>
      </w:tr>
      <w:tr>
        <w:tc>
          <w:tcPr>
            <w:tcW w:type="dxa" w:w="5112"/>
          </w:tcPr>
          <w:p>
            <w:r>
              <w:t>Build one memorable category.</w:t>
            </w:r>
          </w:p>
        </w:tc>
        <w:tc>
          <w:tcPr>
            <w:tcW w:type="dxa" w:w="5112"/>
          </w:tcPr>
          <w:p>
            <w:r>
              <w:t>Describe ASOJU as everything to everyone.</w:t>
            </w:r>
          </w:p>
        </w:tc>
      </w:tr>
    </w:tbl>
    <w:p>
      <w:pPr>
        <w:pStyle w:val="Heading1"/>
      </w:pPr>
      <w:r>
        <w:t>52. Master Message Architecture</w:t>
      </w:r>
    </w:p>
    <w:p>
      <w:r>
        <w:rPr>
          <w:b w:val="0"/>
        </w:rPr>
        <w:t>BRAND: ASOJU</w:t>
      </w:r>
    </w:p>
    <w:p>
      <w:r>
        <w:rPr>
          <w:b w:val="0"/>
        </w:rPr>
        <w:t>CATEGORY: Trusted Diaspora Representation</w:t>
      </w:r>
    </w:p>
    <w:p>
      <w:r>
        <w:rPr>
          <w:b w:val="0"/>
        </w:rPr>
        <w:t>PROMISE: Your Trusted Rep Back Home.</w:t>
      </w:r>
    </w:p>
    <w:p>
      <w:r>
        <w:rPr>
          <w:b w:val="0"/>
        </w:rPr>
        <w:t>EMOTIONAL BENEFIT: Feel present even when you cannot be there.</w:t>
      </w:r>
    </w:p>
    <w:p>
      <w:r>
        <w:rPr>
          <w:b w:val="0"/>
        </w:rPr>
        <w:t>FUNCTIONAL BENEFIT: Get important matters handled through accountable local support.</w:t>
      </w:r>
    </w:p>
    <w:p>
      <w:r>
        <w:rPr>
          <w:b w:val="0"/>
        </w:rPr>
        <w:t>PROOF: Clear scope + accountable representative + updates + evidence + QC.</w:t>
      </w:r>
    </w:p>
    <w:p>
      <w:r>
        <w:rPr>
          <w:b w:val="0"/>
        </w:rPr>
        <w:t>CTA: Get a Trusted Rep Back Home.</w:t>
      </w:r>
    </w:p>
    <w:p>
      <w:pPr>
        <w:pStyle w:val="Heading1"/>
      </w:pPr>
      <w:r>
        <w:t>53. Verbal Identity Governance</w:t>
      </w:r>
    </w:p>
    <w:p>
      <w:r>
        <w:rPr>
          <w:b w:val="0"/>
        </w:rPr>
        <w:t>Before publishing major customer-facing messaging, ask:</w:t>
      </w:r>
    </w:p>
    <w:p>
      <w:pPr>
        <w:pStyle w:val="ListNumber"/>
      </w:pPr>
      <w:r>
        <w:t>Does this reinforce trusted representation?</w:t>
      </w:r>
    </w:p>
    <w:p>
      <w:pPr>
        <w:pStyle w:val="ListNumber"/>
      </w:pPr>
      <w:r>
        <w:t>Is the claim operationally true?</w:t>
      </w:r>
    </w:p>
    <w:p>
      <w:pPr>
        <w:pStyle w:val="ListNumber"/>
      </w:pPr>
      <w:r>
        <w:t>Is the customer benefit clear?</w:t>
      </w:r>
    </w:p>
    <w:p>
      <w:pPr>
        <w:pStyle w:val="ListNumber"/>
      </w:pPr>
      <w:r>
        <w:t>Does the language reduce uncertainty?</w:t>
      </w:r>
    </w:p>
    <w:p>
      <w:pPr>
        <w:pStyle w:val="ListNumber"/>
      </w:pPr>
      <w:r>
        <w:t>Does it sound human?</w:t>
      </w:r>
    </w:p>
    <w:p>
      <w:pPr>
        <w:pStyle w:val="ListNumber"/>
      </w:pPr>
      <w:r>
        <w:t>Could the statement create an expectation ASOJU cannot reliably meet?</w:t>
      </w:r>
    </w:p>
    <w:p>
      <w:pPr>
        <w:pStyle w:val="Heading1"/>
      </w:pPr>
      <w:r>
        <w:t>54. Final Verbal Identity Principle</w:t>
      </w:r>
    </w:p>
    <w:p>
      <w:r>
        <w:rPr>
          <w:b/>
        </w:rPr>
        <w:t>ASOJU should sound like the person you trust to take responsibility when you cannot be there yourself.</w:t>
      </w:r>
    </w:p>
    <w:p>
      <w:r>
        <w:rPr>
          <w:b w:val="0"/>
        </w:rPr>
        <w:t>Calm. Clear. Capable. Human. Accountable.</w:t>
      </w:r>
    </w:p>
    <w:p>
      <w:r>
        <w:rPr>
          <w:b/>
        </w:rPr>
        <w:t>ASOJU — Your Trusted Rep Back Home.</w:t>
      </w:r>
    </w:p>
    <w:p>
      <w:pPr>
        <w:pStyle w:val="Heading1"/>
      </w:pPr>
      <w:r>
        <w:t>55. Next Marketing Documents</w:t>
      </w:r>
    </w:p>
    <w:tbl>
      <w:tblPr>
        <w:tblStyle w:val="TableGrid"/>
        <w:tblW w:type="auto" w:w="0"/>
        <w:jc w:val="center"/>
        <w:tblLook w:firstColumn="1" w:firstRow="1" w:lastColumn="0" w:lastRow="0" w:noHBand="0" w:noVBand="1" w:val="04A0"/>
      </w:tblPr>
      <w:tblGrid>
        <w:gridCol w:w="5112"/>
        <w:gridCol w:w="5112"/>
      </w:tblGrid>
      <w:tr>
        <w:tc>
          <w:tcPr>
            <w:tcW w:type="dxa" w:w="5112"/>
          </w:tcPr>
          <w:p>
            <w:r>
              <w:t>Document</w:t>
            </w:r>
          </w:p>
        </w:tc>
        <w:tc>
          <w:tcPr>
            <w:tcW w:type="dxa" w:w="5112"/>
          </w:tcPr>
          <w:p>
            <w:r>
              <w:t>Purpose</w:t>
            </w:r>
          </w:p>
        </w:tc>
      </w:tr>
      <w:tr>
        <w:tc>
          <w:tcPr>
            <w:tcW w:type="dxa" w:w="5112"/>
          </w:tcPr>
          <w:p>
            <w:r>
              <w:t>Diaspora Marketing Strategy</w:t>
            </w:r>
          </w:p>
        </w:tc>
        <w:tc>
          <w:tcPr>
            <w:tcW w:type="dxa" w:w="5112"/>
          </w:tcPr>
          <w:p>
            <w:r>
              <w:t>ICP segments, channels, acquisition, community and growth strategy.</w:t>
            </w:r>
          </w:p>
        </w:tc>
      </w:tr>
      <w:tr>
        <w:tc>
          <w:tcPr>
            <w:tcW w:type="dxa" w:w="5112"/>
          </w:tcPr>
          <w:p>
            <w:r>
              <w:t>Content &amp; Campaign Playbook</w:t>
            </w:r>
          </w:p>
        </w:tc>
        <w:tc>
          <w:tcPr>
            <w:tcW w:type="dxa" w:w="5112"/>
          </w:tcPr>
          <w:p>
            <w:r>
              <w:t>Content pillars, formats, campaign system and calendar.</w:t>
            </w:r>
          </w:p>
        </w:tc>
      </w:tr>
      <w:tr>
        <w:tc>
          <w:tcPr>
            <w:tcW w:type="dxa" w:w="5112"/>
          </w:tcPr>
          <w:p>
            <w:r>
              <w:t>Brand Launch Campaign</w:t>
            </w:r>
          </w:p>
        </w:tc>
        <w:tc>
          <w:tcPr>
            <w:tcW w:type="dxa" w:w="5112"/>
          </w:tcPr>
          <w:p>
            <w:r>
              <w:t>Creative platform, launch narrative and activation plan.</w:t>
            </w:r>
          </w:p>
        </w:tc>
      </w:tr>
      <w:tr>
        <w:tc>
          <w:tcPr>
            <w:tcW w:type="dxa" w:w="5112"/>
          </w:tcPr>
          <w:p>
            <w:r>
              <w:t>Marketing KPI &amp; Measurement Framework</w:t>
            </w:r>
          </w:p>
        </w:tc>
        <w:tc>
          <w:tcPr>
            <w:tcW w:type="dxa" w:w="5112"/>
          </w:tcPr>
          <w:p>
            <w:r>
              <w:t>Funnel, CAC, conversion, referral, brand and retention metrics.</w:t>
            </w:r>
          </w:p>
        </w:tc>
      </w:tr>
      <w:tr>
        <w:tc>
          <w:tcPr>
            <w:tcW w:type="dxa" w:w="5112"/>
          </w:tcPr>
          <w:p>
            <w:r>
              <w:t>Partnership &amp; Community Strategy</w:t>
            </w:r>
          </w:p>
        </w:tc>
        <w:tc>
          <w:tcPr>
            <w:tcW w:type="dxa" w:w="5112"/>
          </w:tcPr>
          <w:p>
            <w:r>
              <w:t>Diaspora organizations, communities and referral networks.</w:t>
            </w:r>
          </w:p>
        </w:tc>
      </w:tr>
    </w:tbl>
    <w:p>
      <w:pPr>
        <w:pStyle w:val="Heading1"/>
      </w:pPr>
      <w:r>
        <w:t>56. Governance</w:t>
      </w:r>
    </w:p>
    <w:p>
      <w:r>
        <w:rPr>
          <w:b w:val="0"/>
        </w:rPr>
        <w:t>Document owner: ASOJU Brand / Marketing / Product.</w:t>
      </w:r>
    </w:p>
    <w:p>
      <w:r>
        <w:rPr>
          <w:b w:val="0"/>
        </w:rPr>
        <w:t>Version: 1.0 | Messaging Foundation.</w:t>
      </w:r>
    </w:p>
    <w:p>
      <w:r>
        <w:rPr>
          <w:b w:val="0"/>
        </w:rPr>
        <w:t>This guide should be used alongside the ASOJU Brand Strategy &amp; Positioning and Brand Identity Guidelines.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