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P0 FINANCIAL MODEL</w:t>
        <w:br/>
        <w:t>&amp; UNIT ECONOMICS FRAMEWORK</w:t>
      </w:r>
    </w:p>
    <w:p>
      <w:pPr>
        <w:jc w:val="center"/>
      </w:pPr>
      <w:r>
        <w:rPr>
          <w:b/>
        </w:rPr>
        <w:t>Version 1.0 | P0 Pilot</w:t>
      </w:r>
    </w:p>
    <w:p>
      <w:r>
        <w:rPr>
          <w:b w:val="0"/>
        </w:rPr>
        <w:t>Brand: ASOJU — Your Trusted Rep Back Home.</w:t>
      </w:r>
    </w:p>
    <w:p>
      <w:r>
        <w:rPr>
          <w:b w:val="0"/>
        </w:rPr>
        <w:t>Purpose: define the financial logic, unit economics, assumptions, data collection and decision rules needed to determine whether ASOJU's P0 operating model can become economically scalable.</w:t>
      </w:r>
    </w:p>
    <w:p>
      <w:r>
        <w:rPr>
          <w:b w:val="0"/>
        </w:rPr>
        <w:t>Important: this is a modelling framework, not a forecast with invented figures. P0 price and cost assumptions should be populated from actual pilot data.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Document</w:t>
            </w:r>
          </w:p>
        </w:tc>
        <w:tc>
          <w:tcPr>
            <w:tcW w:type="dxa" w:w="5112"/>
          </w:tcPr>
          <w:p>
            <w:r>
              <w:t>ASOJU P0 Financial Model &amp; Unit Economics Framework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P0 Pilot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ASOJU Commercial / Finance / Operations</w:t>
            </w:r>
          </w:p>
        </w:tc>
      </w:tr>
      <w:tr>
        <w:tc>
          <w:tcPr>
            <w:tcW w:type="dxa" w:w="5112"/>
          </w:tcPr>
          <w:p>
            <w:r>
              <w:t>Primary use</w:t>
            </w:r>
          </w:p>
        </w:tc>
        <w:tc>
          <w:tcPr>
            <w:tcW w:type="dxa" w:w="5112"/>
          </w:tcPr>
          <w:p>
            <w:r>
              <w:t>Pricing, case economics, pilot decisions and scale readiness</w:t>
            </w:r>
          </w:p>
        </w:tc>
      </w:tr>
      <w:tr>
        <w:tc>
          <w:tcPr>
            <w:tcW w:type="dxa" w:w="5112"/>
          </w:tcPr>
          <w:p>
            <w:r>
              <w:t>Related documents</w:t>
            </w:r>
          </w:p>
        </w:tc>
        <w:tc>
          <w:tcPr>
            <w:tcW w:type="dxa" w:w="5112"/>
          </w:tcPr>
          <w:p>
            <w:r>
              <w:t>P0 Service Catalogue &amp; Pricing Framework; P0 Case Management &amp; Operations Tracker; P0 GTM Plan</w:t>
            </w:r>
          </w:p>
        </w:tc>
      </w:tr>
    </w:tbl>
    <w:p>
      <w:pPr>
        <w:pStyle w:val="Heading1"/>
      </w:pPr>
      <w:r>
        <w:t>1. Financial Thesis</w:t>
      </w:r>
    </w:p>
    <w:p>
      <w:r>
        <w:rPr>
          <w:b w:val="0"/>
        </w:rPr>
        <w:t>ASOJU should prove that trusted local representation can generate attractive contribution economics while maintaining a high-quality customer experience.</w:t>
      </w:r>
    </w:p>
    <w:p>
      <w:r>
        <w:rPr>
          <w:b w:val="0"/>
        </w:rPr>
        <w:t>The core equation is:</w:t>
      </w:r>
    </w:p>
    <w:p>
      <w:r>
        <w:rPr>
          <w:b/>
        </w:rPr>
        <w:t>CUSTOMER REVENUE → DIRECT CASE COSTS → CONTRIBUTION → CUSTOMER ACQUISITION COST → FIXED COSTS → OPERATING PROFIT</w:t>
      </w:r>
    </w:p>
    <w:p>
      <w:r>
        <w:rPr>
          <w:b w:val="0"/>
        </w:rPr>
        <w:t>P0 should optimize for learning the economics of a trustworthy service, not for maximizing early revenue at any cost.</w:t>
      </w:r>
    </w:p>
    <w:p>
      <w:pPr>
        <w:pStyle w:val="Heading1"/>
      </w:pPr>
      <w:r>
        <w:t>2. Unit of Economics</w:t>
      </w:r>
    </w:p>
    <w:p>
      <w:r>
        <w:rPr>
          <w:b w:val="0"/>
        </w:rPr>
        <w:t>The primary economic unit is the completed customer case.</w:t>
      </w:r>
    </w:p>
    <w:p>
      <w:r>
        <w:rPr>
          <w:b w:val="0"/>
        </w:rPr>
        <w:t>A case may be one-off or may create downstream recurring revenue.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Economic Unit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Lead</w:t>
            </w:r>
          </w:p>
        </w:tc>
        <w:tc>
          <w:tcPr>
            <w:tcW w:type="dxa" w:w="5112"/>
          </w:tcPr>
          <w:p>
            <w:r>
              <w:t>A prospective customer/request entering the funnel.</w:t>
            </w:r>
          </w:p>
        </w:tc>
      </w:tr>
      <w:tr>
        <w:tc>
          <w:tcPr>
            <w:tcW w:type="dxa" w:w="5112"/>
          </w:tcPr>
          <w:p>
            <w:r>
              <w:t>Qualified lead</w:t>
            </w:r>
          </w:p>
        </w:tc>
        <w:tc>
          <w:tcPr>
            <w:tcW w:type="dxa" w:w="5112"/>
          </w:tcPr>
          <w:p>
            <w:r>
              <w:t>Lead with sufficient information and plausible service fit.</w:t>
            </w:r>
          </w:p>
        </w:tc>
      </w:tr>
      <w:tr>
        <w:tc>
          <w:tcPr>
            <w:tcW w:type="dxa" w:w="5112"/>
          </w:tcPr>
          <w:p>
            <w:r>
              <w:t>Quoted case</w:t>
            </w:r>
          </w:p>
        </w:tc>
        <w:tc>
          <w:tcPr>
            <w:tcW w:type="dxa" w:w="5112"/>
          </w:tcPr>
          <w:p>
            <w:r>
              <w:t>Qualified request with defined scope and price.</w:t>
            </w:r>
          </w:p>
        </w:tc>
      </w:tr>
      <w:tr>
        <w:tc>
          <w:tcPr>
            <w:tcW w:type="dxa" w:w="5112"/>
          </w:tcPr>
          <w:p>
            <w:r>
              <w:t>Paid case</w:t>
            </w:r>
          </w:p>
        </w:tc>
        <w:tc>
          <w:tcPr>
            <w:tcW w:type="dxa" w:w="5112"/>
          </w:tcPr>
          <w:p>
            <w:r>
              <w:t>Customer has authorized and paid for the case.</w:t>
            </w:r>
          </w:p>
        </w:tc>
      </w:tr>
      <w:tr>
        <w:tc>
          <w:tcPr>
            <w:tcW w:type="dxa" w:w="5112"/>
          </w:tcPr>
          <w:p>
            <w:r>
              <w:t>Completed case</w:t>
            </w:r>
          </w:p>
        </w:tc>
        <w:tc>
          <w:tcPr>
            <w:tcW w:type="dxa" w:w="5112"/>
          </w:tcPr>
          <w:p>
            <w:r>
              <w:t>Approved scope delivered and case closed.</w:t>
            </w:r>
          </w:p>
        </w:tc>
      </w:tr>
      <w:tr>
        <w:tc>
          <w:tcPr>
            <w:tcW w:type="dxa" w:w="5112"/>
          </w:tcPr>
          <w:p>
            <w:r>
              <w:t>Recurring customer</w:t>
            </w:r>
          </w:p>
        </w:tc>
        <w:tc>
          <w:tcPr>
            <w:tcW w:type="dxa" w:w="5112"/>
          </w:tcPr>
          <w:p>
            <w:r>
              <w:t>Customer with an active monitoring/recurring arrangement.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Unique customer relationship across cases.</w:t>
            </w:r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>
              <w:t>Qualified new opportunity generated by an existing customer.</w:t>
            </w:r>
          </w:p>
        </w:tc>
      </w:tr>
    </w:tbl>
    <w:p>
      <w:pPr>
        <w:pStyle w:val="Heading1"/>
      </w:pPr>
      <w:r>
        <w:t>3. Revenue Architecture</w:t>
      </w:r>
    </w:p>
    <w:p>
      <w:r>
        <w:rPr>
          <w:b w:val="0"/>
        </w:rPr>
        <w:t>ASOJU revenue can come from:</w:t>
      </w:r>
    </w:p>
    <w:p>
      <w:pPr>
        <w:pStyle w:val="ListBullet"/>
      </w:pPr>
      <w:r>
        <w:t>One-off verification/inspection fees.</w:t>
      </w:r>
    </w:p>
    <w:p>
      <w:pPr>
        <w:pStyle w:val="ListBullet"/>
      </w:pPr>
      <w:r>
        <w:t>Project monitoring fees.</w:t>
      </w:r>
    </w:p>
    <w:p>
      <w:pPr>
        <w:pStyle w:val="ListBullet"/>
      </w:pPr>
      <w:r>
        <w:t>Recurring asset/project monitoring fees.</w:t>
      </w:r>
    </w:p>
    <w:p>
      <w:pPr>
        <w:pStyle w:val="ListBullet"/>
      </w:pPr>
      <w:r>
        <w:t>Concierge case fees.</w:t>
      </w:r>
    </w:p>
    <w:p>
      <w:pPr>
        <w:pStyle w:val="ListBullet"/>
      </w:pPr>
      <w:r>
        <w:t>Business monitoring fees.</w:t>
      </w:r>
    </w:p>
    <w:p>
      <w:pPr>
        <w:pStyle w:val="ListBullet"/>
      </w:pPr>
      <w:r>
        <w:t>Approved coordination/service fees where applicable.</w:t>
      </w:r>
    </w:p>
    <w:p>
      <w:r>
        <w:rPr>
          <w:b w:val="0"/>
        </w:rPr>
        <w:t>Third-party costs should be tracked separately so ASOJU can distinguish revenue from pass-through or externally incurred costs.</w:t>
      </w:r>
    </w:p>
    <w:p>
      <w:pPr>
        <w:pStyle w:val="Heading1"/>
      </w:pPr>
      <w:r>
        <w:t>4. Revenue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Variable</w:t>
            </w:r>
          </w:p>
        </w:tc>
        <w:tc>
          <w:tcPr>
            <w:tcW w:type="dxa" w:w="5112"/>
          </w:tcPr>
          <w:p>
            <w:r>
              <w:t>Formula / Entry</w:t>
            </w:r>
          </w:p>
        </w:tc>
      </w:tr>
      <w:tr>
        <w:tc>
          <w:tcPr>
            <w:tcW w:type="dxa" w:w="5112"/>
          </w:tcPr>
          <w:p>
            <w:r>
              <w:t>Number of paid cases</w:t>
            </w:r>
          </w:p>
        </w:tc>
        <w:tc>
          <w:tcPr>
            <w:tcW w:type="dxa" w:w="5112"/>
          </w:tcPr>
          <w:p>
            <w:r>
              <w:t>Input</w:t>
            </w:r>
          </w:p>
        </w:tc>
      </w:tr>
      <w:tr>
        <w:tc>
          <w:tcPr>
            <w:tcW w:type="dxa" w:w="5112"/>
          </w:tcPr>
          <w:p>
            <w:r>
              <w:t>Average order value (AOV)</w:t>
            </w:r>
          </w:p>
        </w:tc>
        <w:tc>
          <w:tcPr>
            <w:tcW w:type="dxa" w:w="5112"/>
          </w:tcPr>
          <w:p>
            <w:r>
              <w:t>Total ASOJU revenue ÷ paid cases</w:t>
            </w:r>
          </w:p>
        </w:tc>
      </w:tr>
      <w:tr>
        <w:tc>
          <w:tcPr>
            <w:tcW w:type="dxa" w:w="5112"/>
          </w:tcPr>
          <w:p>
            <w:r>
              <w:t>One-off revenue</w:t>
            </w:r>
          </w:p>
        </w:tc>
        <w:tc>
          <w:tcPr>
            <w:tcW w:type="dxa" w:w="5112"/>
          </w:tcPr>
          <w:p>
            <w:r>
              <w:t>Paid one-off cases × average one-off price</w:t>
            </w:r>
          </w:p>
        </w:tc>
      </w:tr>
      <w:tr>
        <w:tc>
          <w:tcPr>
            <w:tcW w:type="dxa" w:w="5112"/>
          </w:tcPr>
          <w:p>
            <w:r>
              <w:t>Recurring revenue</w:t>
            </w:r>
          </w:p>
        </w:tc>
        <w:tc>
          <w:tcPr>
            <w:tcW w:type="dxa" w:w="5112"/>
          </w:tcPr>
          <w:p>
            <w:r>
              <w:t>Active recurring customers × average recurring revenue</w:t>
            </w:r>
          </w:p>
        </w:tc>
      </w:tr>
      <w:tr>
        <w:tc>
          <w:tcPr>
            <w:tcW w:type="dxa" w:w="5112"/>
          </w:tcPr>
          <w:p>
            <w:r>
              <w:t>Custom/Concierge revenue</w:t>
            </w:r>
          </w:p>
        </w:tc>
        <w:tc>
          <w:tcPr>
            <w:tcW w:type="dxa" w:w="5112"/>
          </w:tcPr>
          <w:p>
            <w:r>
              <w:t>Paid custom cases × average custom case value</w:t>
            </w:r>
          </w:p>
        </w:tc>
      </w:tr>
      <w:tr>
        <w:tc>
          <w:tcPr>
            <w:tcW w:type="dxa" w:w="5112"/>
          </w:tcPr>
          <w:p>
            <w:r>
              <w:t>Total revenue</w:t>
            </w:r>
          </w:p>
        </w:tc>
        <w:tc>
          <w:tcPr>
            <w:tcW w:type="dxa" w:w="5112"/>
          </w:tcPr>
          <w:p>
            <w:r>
              <w:t>One-off + recurring + custom/business revenue</w:t>
            </w:r>
          </w:p>
        </w:tc>
      </w:tr>
    </w:tbl>
    <w:p>
      <w:pPr>
        <w:pStyle w:val="Heading1"/>
      </w:pPr>
      <w:r>
        <w:t>5. Direct Case Costs</w:t>
      </w:r>
    </w:p>
    <w:p>
      <w:r>
        <w:rPr>
          <w:b w:val="0"/>
        </w:rPr>
        <w:t>Every case should capture the direct cost required to deliver it.</w:t>
      </w:r>
    </w:p>
    <w:p>
      <w:pPr>
        <w:pStyle w:val="ListBullet"/>
      </w:pPr>
      <w:r>
        <w:t>Field representative payment.</w:t>
      </w:r>
    </w:p>
    <w:p>
      <w:pPr>
        <w:pStyle w:val="ListBullet"/>
      </w:pPr>
      <w:r>
        <w:t>Travel and transport.</w:t>
      </w:r>
    </w:p>
    <w:p>
      <w:pPr>
        <w:pStyle w:val="ListBullet"/>
      </w:pPr>
      <w:r>
        <w:t>Access fees.</w:t>
      </w:r>
    </w:p>
    <w:p>
      <w:pPr>
        <w:pStyle w:val="ListBullet"/>
      </w:pPr>
      <w:r>
        <w:t>Third-party specialist costs.</w:t>
      </w:r>
    </w:p>
    <w:p>
      <w:pPr>
        <w:pStyle w:val="ListBullet"/>
      </w:pPr>
      <w:r>
        <w:t>Materials or consumables required for delivery.</w:t>
      </w:r>
    </w:p>
    <w:p>
      <w:pPr>
        <w:pStyle w:val="ListBullet"/>
      </w:pPr>
      <w:r>
        <w:t>Case-specific communication/transaction costs where material.</w:t>
      </w:r>
    </w:p>
    <w:p>
      <w:pPr>
        <w:pStyle w:val="ListBullet"/>
      </w:pPr>
      <w:r>
        <w:t>Other directly attributable delivery costs.</w:t>
      </w:r>
    </w:p>
    <w:p>
      <w:r>
        <w:rPr>
          <w:b w:val="0"/>
        </w:rPr>
        <w:t>Do not classify ordinary fixed overhead as a case cost merely to make contribution appear lower; maintain a clear distinction between variable/direct and fixed costs.</w:t>
      </w:r>
    </w:p>
    <w:p>
      <w:pPr>
        <w:pStyle w:val="Heading1"/>
      </w:pPr>
      <w:r>
        <w:t>6. Case Contribution</w:t>
      </w:r>
    </w:p>
    <w:p>
      <w:r>
        <w:rPr>
          <w:b/>
        </w:rPr>
        <w:t>CONTRIBUTION = CASE REVENUE − DIRECT CASE COSTS</w:t>
      </w:r>
    </w:p>
    <w:p>
      <w:r>
        <w:rPr>
          <w:b/>
        </w:rPr>
        <w:t>CONTRIBUTION MARGIN % = CONTRIBUTION ÷ CASE REVENUE</w:t>
      </w:r>
    </w:p>
    <w:p>
      <w:r>
        <w:rPr>
          <w:b w:val="0"/>
        </w:rPr>
        <w:t>This is the first critical test of whether an individual service is economically viable before customer acquisition and corporate overhead.</w:t>
      </w:r>
    </w:p>
    <w:p>
      <w:pPr>
        <w:pStyle w:val="Heading1"/>
      </w:pPr>
      <w:r>
        <w:t>7. Case Economics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Case 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Service family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 segment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Revenue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Representative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Travel/transport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Third-party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Other direct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Total direct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Contribution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Contribution margin %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Case duration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 satisfaction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QC outcome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Rework required?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Repeat opportunity?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8. Service-Level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Service</w:t>
            </w:r>
          </w:p>
        </w:tc>
        <w:tc>
          <w:tcPr>
            <w:tcW w:type="dxa" w:w="2045"/>
          </w:tcPr>
          <w:p>
            <w:r>
              <w:t>Revenue / Case</w:t>
            </w:r>
          </w:p>
        </w:tc>
        <w:tc>
          <w:tcPr>
            <w:tcW w:type="dxa" w:w="2045"/>
          </w:tcPr>
          <w:p>
            <w:r>
              <w:t>Direct Cost / Case</w:t>
            </w:r>
          </w:p>
        </w:tc>
        <w:tc>
          <w:tcPr>
            <w:tcW w:type="dxa" w:w="2045"/>
          </w:tcPr>
          <w:p>
            <w:r>
              <w:t>Contribution / Case</w:t>
            </w:r>
          </w:p>
        </w:tc>
        <w:tc>
          <w:tcPr>
            <w:tcW w:type="dxa" w:w="2045"/>
          </w:tcPr>
          <w:p>
            <w:r>
              <w:t>Contribution %</w:t>
            </w:r>
          </w:p>
        </w:tc>
      </w:tr>
      <w:tr>
        <w:tc>
          <w:tcPr>
            <w:tcW w:type="dxa" w:w="2045"/>
          </w:tcPr>
          <w:p>
            <w:r>
              <w:t>ASOJU Verify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ASOJU Projects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ASOJU Assets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ASOJU Concierge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ASOJU Business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r>
        <w:rPr>
          <w:b w:val="0"/>
        </w:rPr>
        <w:t>Do not compare services on price alone. Compare contribution after actual delivery costs and the customer value/retention each service creates.</w:t>
      </w:r>
    </w:p>
    <w:p>
      <w:pPr>
        <w:pStyle w:val="Heading1"/>
      </w:pPr>
      <w:r>
        <w:t>9. Field Representative Economics</w:t>
      </w:r>
    </w:p>
    <w:p>
      <w:r>
        <w:rPr>
          <w:b w:val="0"/>
        </w:rPr>
        <w:t>The field representative network is one of ASOJU's most important variable-cost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Representative cost per case</w:t>
            </w:r>
          </w:p>
        </w:tc>
        <w:tc>
          <w:tcPr>
            <w:tcW w:type="dxa" w:w="5112"/>
          </w:tcPr>
          <w:p>
            <w:r>
              <w:t>Amount paid to representative for completed assignment.</w:t>
            </w:r>
          </w:p>
        </w:tc>
      </w:tr>
      <w:tr>
        <w:tc>
          <w:tcPr>
            <w:tcW w:type="dxa" w:w="5112"/>
          </w:tcPr>
          <w:p>
            <w:r>
              <w:t>Average field hours</w:t>
            </w:r>
          </w:p>
        </w:tc>
        <w:tc>
          <w:tcPr>
            <w:tcW w:type="dxa" w:w="5112"/>
          </w:tcPr>
          <w:p>
            <w:r>
              <w:t>Representative time per case.</w:t>
            </w:r>
          </w:p>
        </w:tc>
      </w:tr>
      <w:tr>
        <w:tc>
          <w:tcPr>
            <w:tcW w:type="dxa" w:w="5112"/>
          </w:tcPr>
          <w:p>
            <w:r>
              <w:t>Travel cost per case</w:t>
            </w:r>
          </w:p>
        </w:tc>
        <w:tc>
          <w:tcPr>
            <w:tcW w:type="dxa" w:w="5112"/>
          </w:tcPr>
          <w:p>
            <w:r>
              <w:t>Direct travel/transport cost.</w:t>
            </w:r>
          </w:p>
        </w:tc>
      </w:tr>
      <w:tr>
        <w:tc>
          <w:tcPr>
            <w:tcW w:type="dxa" w:w="5112"/>
          </w:tcPr>
          <w:p>
            <w:r>
              <w:t>Cost per field hour</w:t>
            </w:r>
          </w:p>
        </w:tc>
        <w:tc>
          <w:tcPr>
            <w:tcW w:type="dxa" w:w="5112"/>
          </w:tcPr>
          <w:p>
            <w:r>
              <w:t>Representative cost ÷ field hours.</w:t>
            </w:r>
          </w:p>
        </w:tc>
      </w:tr>
      <w:tr>
        <w:tc>
          <w:tcPr>
            <w:tcW w:type="dxa" w:w="5112"/>
          </w:tcPr>
          <w:p>
            <w:r>
              <w:t>Evidence/rework cost</w:t>
            </w:r>
          </w:p>
        </w:tc>
        <w:tc>
          <w:tcPr>
            <w:tcW w:type="dxa" w:w="5112"/>
          </w:tcPr>
          <w:p>
            <w:r>
              <w:t>Incremental cost caused by poor or incomplete submissions.</w:t>
            </w:r>
          </w:p>
        </w:tc>
      </w:tr>
      <w:tr>
        <w:tc>
          <w:tcPr>
            <w:tcW w:type="dxa" w:w="5112"/>
          </w:tcPr>
          <w:p>
            <w:r>
              <w:t>Representative utilization</w:t>
            </w:r>
          </w:p>
        </w:tc>
        <w:tc>
          <w:tcPr>
            <w:tcW w:type="dxa" w:w="5112"/>
          </w:tcPr>
          <w:p>
            <w:r>
              <w:t>Productive assignments relative to available capacity.</w:t>
            </w:r>
          </w:p>
        </w:tc>
      </w:tr>
    </w:tbl>
    <w:p>
      <w:r>
        <w:rPr>
          <w:b w:val="0"/>
        </w:rPr>
        <w:t>A lower representative fee is not automatically better if it produces poor evidence, rework, delays or customer complaints.</w:t>
      </w:r>
    </w:p>
    <w:p>
      <w:pPr>
        <w:pStyle w:val="Heading1"/>
      </w:pPr>
      <w:r>
        <w:t>10. Concierge Economics</w:t>
      </w:r>
    </w:p>
    <w:p>
      <w:r>
        <w:rPr>
          <w:b w:val="0"/>
        </w:rPr>
        <w:t>Concierge time is a real operating cost even when the role is initially performed by a founder or small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Minutes per new lead</w:t>
            </w:r>
          </w:p>
        </w:tc>
        <w:tc>
          <w:tcPr>
            <w:tcW w:type="dxa" w:w="5112"/>
          </w:tcPr>
          <w:p>
            <w:r>
              <w:t>Average Concierge time to first meaningful response.</w:t>
            </w:r>
          </w:p>
        </w:tc>
      </w:tr>
      <w:tr>
        <w:tc>
          <w:tcPr>
            <w:tcW w:type="dxa" w:w="5112"/>
          </w:tcPr>
          <w:p>
            <w:r>
              <w:t>Minutes per qualified lead</w:t>
            </w:r>
          </w:p>
        </w:tc>
        <w:tc>
          <w:tcPr>
            <w:tcW w:type="dxa" w:w="5112"/>
          </w:tcPr>
          <w:p>
            <w:r>
              <w:t>Time to collect required qualification information.</w:t>
            </w:r>
          </w:p>
        </w:tc>
      </w:tr>
      <w:tr>
        <w:tc>
          <w:tcPr>
            <w:tcW w:type="dxa" w:w="5112"/>
          </w:tcPr>
          <w:p>
            <w:r>
              <w:t>Minutes per quote</w:t>
            </w:r>
          </w:p>
        </w:tc>
        <w:tc>
          <w:tcPr>
            <w:tcW w:type="dxa" w:w="5112"/>
          </w:tcPr>
          <w:p>
            <w:r>
              <w:t>Time to coordinate scope and commercial response.</w:t>
            </w:r>
          </w:p>
        </w:tc>
      </w:tr>
      <w:tr>
        <w:tc>
          <w:tcPr>
            <w:tcW w:type="dxa" w:w="5112"/>
          </w:tcPr>
          <w:p>
            <w:r>
              <w:t>Minutes per active case</w:t>
            </w:r>
          </w:p>
        </w:tc>
        <w:tc>
          <w:tcPr>
            <w:tcW w:type="dxa" w:w="5112"/>
          </w:tcPr>
          <w:p>
            <w:r>
              <w:t>Ongoing communication time.</w:t>
            </w:r>
          </w:p>
        </w:tc>
      </w:tr>
      <w:tr>
        <w:tc>
          <w:tcPr>
            <w:tcW w:type="dxa" w:w="5112"/>
          </w:tcPr>
          <w:p>
            <w:r>
              <w:t>Minutes per closure</w:t>
            </w:r>
          </w:p>
        </w:tc>
        <w:tc>
          <w:tcPr>
            <w:tcW w:type="dxa" w:w="5112"/>
          </w:tcPr>
          <w:p>
            <w:r>
              <w:t>Customer feedback, reporting and closure work.</w:t>
            </w:r>
          </w:p>
        </w:tc>
      </w:tr>
      <w:tr>
        <w:tc>
          <w:tcPr>
            <w:tcW w:type="dxa" w:w="5112"/>
          </w:tcPr>
          <w:p>
            <w:r>
              <w:t>Total Concierge minutes/customer</w:t>
            </w:r>
          </w:p>
        </w:tc>
        <w:tc>
          <w:tcPr>
            <w:tcW w:type="dxa" w:w="5112"/>
          </w:tcPr>
          <w:p>
            <w:r>
              <w:t>Sum across the lifecycle.</w:t>
            </w:r>
          </w:p>
        </w:tc>
      </w:tr>
    </w:tbl>
    <w:p>
      <w:r>
        <w:rPr>
          <w:b w:val="0"/>
        </w:rPr>
        <w:t>P0 should record founder/operator time rather than treating it as free. The initial model may show it as an imputed cost for scale planning.</w:t>
      </w:r>
    </w:p>
    <w:p>
      <w:pPr>
        <w:pStyle w:val="Heading1"/>
      </w:pPr>
      <w:r>
        <w:t>11. Customer Acquisition Cost</w:t>
      </w:r>
    </w:p>
    <w:p>
      <w:r>
        <w:rPr>
          <w:b w:val="0"/>
        </w:rPr>
        <w:t>CAC should be measured by channel.</w:t>
      </w:r>
    </w:p>
    <w:p>
      <w:r>
        <w:rPr>
          <w:b/>
        </w:rPr>
        <w:t>CAC = TOTAL ACQUISITION SPEND ÷ NEW PAYING CUSTOMERS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Channel</w:t>
            </w:r>
          </w:p>
        </w:tc>
        <w:tc>
          <w:tcPr>
            <w:tcW w:type="dxa" w:w="2045"/>
          </w:tcPr>
          <w:p>
            <w:r>
              <w:t>Spend</w:t>
            </w:r>
          </w:p>
        </w:tc>
        <w:tc>
          <w:tcPr>
            <w:tcW w:type="dxa" w:w="2045"/>
          </w:tcPr>
          <w:p>
            <w:r>
              <w:t>Qualified Leads</w:t>
            </w:r>
          </w:p>
        </w:tc>
        <w:tc>
          <w:tcPr>
            <w:tcW w:type="dxa" w:w="2045"/>
          </w:tcPr>
          <w:p>
            <w:r>
              <w:t>Paid Customers</w:t>
            </w:r>
          </w:p>
        </w:tc>
        <w:tc>
          <w:tcPr>
            <w:tcW w:type="dxa" w:w="2045"/>
          </w:tcPr>
          <w:p>
            <w:r>
              <w:t>CAC</w:t>
            </w:r>
          </w:p>
        </w:tc>
      </w:tr>
      <w:tr>
        <w:tc>
          <w:tcPr>
            <w:tcW w:type="dxa" w:w="2045"/>
          </w:tcPr>
          <w:p>
            <w:r>
              <w:t>Referral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WhatsApp/direct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Community/partnership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Social/content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Paid acquisition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Other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r>
        <w:rPr>
          <w:b w:val="0"/>
        </w:rPr>
        <w:t>For early P0, referral and relationship-led acquisition should be measured separately because they may have very different cash costs and conversion quality.</w:t>
      </w:r>
    </w:p>
    <w:p>
      <w:pPr>
        <w:pStyle w:val="Heading1"/>
      </w:pPr>
      <w:r>
        <w:t>12. Funnel Economics</w:t>
      </w:r>
    </w:p>
    <w:p>
      <w:r>
        <w:rPr>
          <w:b w:val="0"/>
        </w:rPr>
        <w:t>The customer funnel should be linked to economics, not just volume.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Value</w:t>
            </w:r>
          </w:p>
        </w:tc>
      </w:tr>
      <w:tr>
        <w:tc>
          <w:tcPr>
            <w:tcW w:type="dxa" w:w="3408"/>
          </w:tcPr>
          <w:p>
            <w:r>
              <w:t>Leads</w:t>
            </w:r>
          </w:p>
        </w:tc>
        <w:tc>
          <w:tcPr>
            <w:tcW w:type="dxa" w:w="3408"/>
          </w:tcPr>
          <w:p>
            <w:r>
              <w:t>Number of leads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Qualified</w:t>
            </w:r>
          </w:p>
        </w:tc>
        <w:tc>
          <w:tcPr>
            <w:tcW w:type="dxa" w:w="3408"/>
          </w:tcPr>
          <w:p>
            <w:r>
              <w:t>Qualified leads / leads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Quoted</w:t>
            </w:r>
          </w:p>
        </w:tc>
        <w:tc>
          <w:tcPr>
            <w:tcW w:type="dxa" w:w="3408"/>
          </w:tcPr>
          <w:p>
            <w:r>
              <w:t>Quotes / qualified leads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Paid</w:t>
            </w:r>
          </w:p>
        </w:tc>
        <w:tc>
          <w:tcPr>
            <w:tcW w:type="dxa" w:w="3408"/>
          </w:tcPr>
          <w:p>
            <w:r>
              <w:t>Paid cases / quotes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Completed</w:t>
            </w:r>
          </w:p>
        </w:tc>
        <w:tc>
          <w:tcPr>
            <w:tcW w:type="dxa" w:w="3408"/>
          </w:tcPr>
          <w:p>
            <w:r>
              <w:t>Completed / paid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Repeat</w:t>
            </w:r>
          </w:p>
        </w:tc>
        <w:tc>
          <w:tcPr>
            <w:tcW w:type="dxa" w:w="3408"/>
          </w:tcPr>
          <w:p>
            <w:r>
              <w:t>Repeat customers / customers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Recurring</w:t>
            </w:r>
          </w:p>
        </w:tc>
        <w:tc>
          <w:tcPr>
            <w:tcW w:type="dxa" w:w="3408"/>
          </w:tcPr>
          <w:p>
            <w:r>
              <w:t>Recurring customers / eligible customers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Referral</w:t>
            </w:r>
          </w:p>
        </w:tc>
        <w:tc>
          <w:tcPr>
            <w:tcW w:type="dxa" w:w="3408"/>
          </w:tcPr>
          <w:p>
            <w:r>
              <w:t>Qualified referrals / customers</w:t>
            </w:r>
          </w:p>
        </w:tc>
        <w:tc>
          <w:tcPr>
            <w:tcW w:type="dxa" w:w="3408"/>
          </w:tcPr>
          <w:p>
            <w:r/>
          </w:p>
        </w:tc>
      </w:tr>
    </w:tbl>
    <w:p>
      <w:r>
        <w:rPr>
          <w:b w:val="0"/>
        </w:rPr>
        <w:t>Revenue per lead can be approximated as:</w:t>
      </w:r>
    </w:p>
    <w:p>
      <w:r>
        <w:rPr>
          <w:b/>
        </w:rPr>
        <w:t>REVENUE PER LEAD = PAID CONVERSION RATE × AVERAGE ORDER VALUE</w:t>
      </w:r>
    </w:p>
    <w:p>
      <w:pPr>
        <w:pStyle w:val="Heading1"/>
      </w:pPr>
      <w:r>
        <w:t>13. Customer Lifetime Value</w:t>
      </w:r>
    </w:p>
    <w:p>
      <w:r>
        <w:rPr>
          <w:b w:val="0"/>
        </w:rPr>
        <w:t>LTV should be built from observed behaviour rather than optimistic assumptions.</w:t>
      </w:r>
    </w:p>
    <w:p>
      <w:r>
        <w:rPr>
          <w:b w:val="0"/>
        </w:rPr>
        <w:t>Simple P0 approximation:</w:t>
      </w:r>
    </w:p>
    <w:p>
      <w:r>
        <w:rPr>
          <w:b/>
        </w:rPr>
        <w:t>LTV = AVERAGE CONTRIBUTION PER CUSTOMER × EXPECTED NUMBER OF PURCHASES</w:t>
      </w:r>
    </w:p>
    <w:p>
      <w:r>
        <w:rPr>
          <w:b w:val="0"/>
        </w:rPr>
        <w:t>A more complete recurring model should include recurring contribution, churn and customer lifespan.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LTV Driver</w:t>
            </w:r>
          </w:p>
        </w:tc>
        <w:tc>
          <w:tcPr>
            <w:tcW w:type="dxa" w:w="5112"/>
          </w:tcPr>
          <w:p>
            <w:r>
              <w:t>Entry</w:t>
            </w:r>
          </w:p>
        </w:tc>
      </w:tr>
      <w:tr>
        <w:tc>
          <w:tcPr>
            <w:tcW w:type="dxa" w:w="5112"/>
          </w:tcPr>
          <w:p>
            <w:r>
              <w:t>Average first-case contribution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Average repeat-case contribution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Average recurring contribution per period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Average number of repeat cases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Average recurring duration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Estimated contribution LTV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14. CAC / LTV</w:t>
      </w:r>
    </w:p>
    <w:p>
      <w:r>
        <w:rPr>
          <w:b w:val="0"/>
        </w:rPr>
        <w:t>A key scale indicator is the relationship between customer acquisition cost and contribution lifetime value.</w:t>
      </w:r>
    </w:p>
    <w:p>
      <w:r>
        <w:rPr>
          <w:b/>
        </w:rPr>
        <w:t>LTV:CAC = CONTRIBUTION LTV ÷ CAC</w:t>
      </w:r>
    </w:p>
    <w:p>
      <w:r>
        <w:rPr>
          <w:b w:val="0"/>
        </w:rPr>
        <w:t>P0 should not impose a rigid benchmark before enough actual data exists. The objective is to establish a credible direction of travel and identify channels that acquire customers economically.</w:t>
      </w:r>
    </w:p>
    <w:p>
      <w:pPr>
        <w:pStyle w:val="Heading1"/>
      </w:pPr>
      <w:r>
        <w:t>15. Break-Even</w:t>
      </w:r>
    </w:p>
    <w:p>
      <w:r>
        <w:rPr>
          <w:b/>
        </w:rPr>
        <w:t>Break-even cases = FIXED COSTS ÷ AVERAGE CONTRIBUTION PER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Fixed Cost Category</w:t>
            </w:r>
          </w:p>
        </w:tc>
        <w:tc>
          <w:tcPr>
            <w:tcW w:type="dxa" w:w="5112"/>
          </w:tcPr>
          <w:p>
            <w:r>
              <w:t>Monthly Amount</w:t>
            </w:r>
          </w:p>
        </w:tc>
      </w:tr>
      <w:tr>
        <w:tc>
          <w:tcPr>
            <w:tcW w:type="dxa" w:w="5112"/>
          </w:tcPr>
          <w:p>
            <w:r>
              <w:t>Core team / salaries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Technology/software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Office/admin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Professional services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Marketing baseline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Insurance / compliance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Other fixed operating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Total fixed costs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rPr>
          <w:b w:val="0"/>
        </w:rPr>
        <w:t>Break-even revenue = break-even cases × AOV.</w:t>
      </w:r>
    </w:p>
    <w:p>
      <w:pPr>
        <w:pStyle w:val="Heading1"/>
      </w:pPr>
      <w:r>
        <w:t>16. Monthly P0 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Line Item</w:t>
            </w:r>
          </w:p>
        </w:tc>
        <w:tc>
          <w:tcPr>
            <w:tcW w:type="dxa" w:w="1461"/>
          </w:tcPr>
          <w:p>
            <w:r>
              <w:t>Month 1</w:t>
            </w:r>
          </w:p>
        </w:tc>
        <w:tc>
          <w:tcPr>
            <w:tcW w:type="dxa" w:w="1461"/>
          </w:tcPr>
          <w:p>
            <w:r>
              <w:t>Month 2</w:t>
            </w:r>
          </w:p>
        </w:tc>
        <w:tc>
          <w:tcPr>
            <w:tcW w:type="dxa" w:w="1461"/>
          </w:tcPr>
          <w:p>
            <w:r>
              <w:t>Month 3</w:t>
            </w:r>
          </w:p>
        </w:tc>
        <w:tc>
          <w:tcPr>
            <w:tcW w:type="dxa" w:w="1461"/>
          </w:tcPr>
          <w:p>
            <w:r>
              <w:t>Month 4</w:t>
            </w:r>
          </w:p>
        </w:tc>
        <w:tc>
          <w:tcPr>
            <w:tcW w:type="dxa" w:w="1461"/>
          </w:tcPr>
          <w:p>
            <w:r>
              <w:t>Month 5</w:t>
            </w:r>
          </w:p>
        </w:tc>
        <w:tc>
          <w:tcPr>
            <w:tcW w:type="dxa" w:w="1461"/>
          </w:tcPr>
          <w:p>
            <w:r>
              <w:t>Month 6</w:t>
            </w:r>
          </w:p>
        </w:tc>
      </w:tr>
      <w:tr>
        <w:tc>
          <w:tcPr>
            <w:tcW w:type="dxa" w:w="1461"/>
          </w:tcPr>
          <w:p>
            <w:r>
              <w:t>Paid cases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AOV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Revenue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Direct case costs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Contribution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Contribution margin %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CAC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Customer acquisition spend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Fixed costs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Operating result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17. Cash Discipline</w:t>
      </w:r>
    </w:p>
    <w:p>
      <w:r>
        <w:rPr>
          <w:b w:val="0"/>
        </w:rPr>
        <w:t>Accounting profit and cash availability are not the same.</w:t>
      </w:r>
    </w:p>
    <w:p>
      <w:pPr>
        <w:pStyle w:val="ListBullet"/>
      </w:pPr>
      <w:r>
        <w:t>Track customer cash received.</w:t>
      </w:r>
    </w:p>
    <w:p>
      <w:pPr>
        <w:pStyle w:val="ListBullet"/>
      </w:pPr>
      <w:r>
        <w:t>Track representative/third-party payments owed.</w:t>
      </w:r>
    </w:p>
    <w:p>
      <w:pPr>
        <w:pStyle w:val="ListBullet"/>
      </w:pPr>
      <w:r>
        <w:t>Track timing of refunds/credits.</w:t>
      </w:r>
    </w:p>
    <w:p>
      <w:pPr>
        <w:pStyle w:val="ListBullet"/>
      </w:pPr>
      <w:r>
        <w:t>Track deposits or prepayments where applicable.</w:t>
      </w:r>
    </w:p>
    <w:p>
      <w:pPr>
        <w:pStyle w:val="ListBullet"/>
      </w:pPr>
      <w:r>
        <w:t>Track unpaid approved expenses.</w:t>
      </w:r>
    </w:p>
    <w:p>
      <w:pPr>
        <w:pStyle w:val="ListBullet"/>
      </w:pPr>
      <w:r>
        <w:t>Maintain a simple cash runway 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Cash Metric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Opening cash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Cash received from customers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Operating cash paid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Representative/third-party cash paid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Other cash outflow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Closing cash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Monthly burn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Cash runway (months)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18. Pricing Sensitivity</w:t>
      </w:r>
    </w:p>
    <w:p>
      <w:r>
        <w:rPr>
          <w:b w:val="0"/>
        </w:rPr>
        <w:t>ASOJU should test how changes in price affect contribution and conversion.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Scenario</w:t>
            </w:r>
          </w:p>
        </w:tc>
        <w:tc>
          <w:tcPr>
            <w:tcW w:type="dxa" w:w="1704"/>
          </w:tcPr>
          <w:p>
            <w:r>
              <w:t>Price</w:t>
            </w:r>
          </w:p>
        </w:tc>
        <w:tc>
          <w:tcPr>
            <w:tcW w:type="dxa" w:w="1704"/>
          </w:tcPr>
          <w:p>
            <w:r>
              <w:t>Expected Conversion</w:t>
            </w:r>
          </w:p>
        </w:tc>
        <w:tc>
          <w:tcPr>
            <w:tcW w:type="dxa" w:w="1704"/>
          </w:tcPr>
          <w:p>
            <w:r>
              <w:t>Direct Cost</w:t>
            </w:r>
          </w:p>
        </w:tc>
        <w:tc>
          <w:tcPr>
            <w:tcW w:type="dxa" w:w="1704"/>
          </w:tcPr>
          <w:p>
            <w:r>
              <w:t>Contribution / Case</w:t>
            </w:r>
          </w:p>
        </w:tc>
        <w:tc>
          <w:tcPr>
            <w:tcW w:type="dxa" w:w="1704"/>
          </w:tcPr>
          <w:p>
            <w:r>
              <w:t>Contribution %</w:t>
            </w:r>
          </w:p>
        </w:tc>
      </w:tr>
      <w:tr>
        <w:tc>
          <w:tcPr>
            <w:tcW w:type="dxa" w:w="1704"/>
          </w:tcPr>
          <w:p>
            <w:r>
              <w:t>Low price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Base price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Premium price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r>
        <w:rPr>
          <w:b w:val="0"/>
        </w:rPr>
        <w:t>The right price is not necessarily the highest price. It is the price that produces strong contribution while maintaining healthy qualified conversion and customer trust.</w:t>
      </w:r>
    </w:p>
    <w:p>
      <w:pPr>
        <w:pStyle w:val="Heading1"/>
      </w:pPr>
      <w:r>
        <w:t>19. Travel Economics</w:t>
      </w:r>
    </w:p>
    <w:p>
      <w:r>
        <w:rPr>
          <w:b w:val="0"/>
        </w:rPr>
        <w:t>Travel can quietly destroy case margins if it is not measured.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Travel Metric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Average distance per case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Average transport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Travel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Travel cost as % of revenue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Cases with travel supplement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Cases where travel exceeded estimate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Average travel variance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rPr>
          <w:b w:val="0"/>
        </w:rPr>
        <w:t>Use the data to define service zones and explicit travel pricing in the Service Catalogue.</w:t>
      </w:r>
    </w:p>
    <w:p>
      <w:pPr>
        <w:pStyle w:val="Heading1"/>
      </w:pPr>
      <w:r>
        <w:t>20. Rework Economics</w:t>
      </w:r>
    </w:p>
    <w:p>
      <w:r>
        <w:rPr>
          <w:b w:val="0"/>
        </w:rPr>
        <w:t>Poor execution has a hidden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Rework Metric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Cases requiring rework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Rework rate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Average rework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Average additional field visit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 communication time caused by rework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Estimated monthly rework cost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rPr>
          <w:b w:val="0"/>
        </w:rPr>
        <w:t>Quality is therefore an economic variable, not merely a customer-service metric.</w:t>
      </w:r>
    </w:p>
    <w:p>
      <w:pPr>
        <w:pStyle w:val="Heading1"/>
      </w:pPr>
      <w:r>
        <w:t>21. Refund / Credit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Refunds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Credits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Refund rate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Average refund value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Direct cost retained after refund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Root causes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rPr>
          <w:b w:val="0"/>
        </w:rPr>
        <w:t>Track whether refunds are driven by scope ambiguity, operational failure, customer change of mind, representative quality or other causes.</w:t>
      </w:r>
    </w:p>
    <w:p>
      <w:pPr>
        <w:pStyle w:val="Heading1"/>
      </w:pPr>
      <w:r>
        <w:t>22. Recurring Revenue Economics</w:t>
      </w:r>
    </w:p>
    <w:p>
      <w:r>
        <w:rPr>
          <w:b w:val="0"/>
        </w:rPr>
        <w:t>Recurring monitoring should be evaluated on both contribution and retention.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Recurring customers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Average recurring fee / period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Direct recurring delivery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Recurring contribution / period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Recurring contribution margin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Monthly/periodic churn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Average recurring duration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Recurring LTV contribution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rPr>
          <w:b w:val="0"/>
        </w:rPr>
        <w:t>The strongest recurring product is not simply the one with the highest monthly price; it is the one customers continue to value because it reduces the burden of being physically absent.</w:t>
      </w:r>
    </w:p>
    <w:p>
      <w:pPr>
        <w:pStyle w:val="Heading1"/>
      </w:pPr>
      <w:r>
        <w:t>23. First 100 Customers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Milestone</w:t>
            </w:r>
          </w:p>
        </w:tc>
        <w:tc>
          <w:tcPr>
            <w:tcW w:type="dxa" w:w="5112"/>
          </w:tcPr>
          <w:p>
            <w:r>
              <w:t>What to Measure</w:t>
            </w:r>
          </w:p>
        </w:tc>
      </w:tr>
      <w:tr>
        <w:tc>
          <w:tcPr>
            <w:tcW w:type="dxa" w:w="5112"/>
          </w:tcPr>
          <w:p>
            <w:r>
              <w:t>Customers 1–10</w:t>
            </w:r>
          </w:p>
        </w:tc>
        <w:tc>
          <w:tcPr>
            <w:tcW w:type="dxa" w:w="5112"/>
          </w:tcPr>
          <w:p>
            <w:r>
              <w:t>Scope, delivery feasibility, initial willingness to pay</w:t>
            </w:r>
          </w:p>
        </w:tc>
      </w:tr>
      <w:tr>
        <w:tc>
          <w:tcPr>
            <w:tcW w:type="dxa" w:w="5112"/>
          </w:tcPr>
          <w:p>
            <w:r>
              <w:t>Customers 11–25</w:t>
            </w:r>
          </w:p>
        </w:tc>
        <w:tc>
          <w:tcPr>
            <w:tcW w:type="dxa" w:w="5112"/>
          </w:tcPr>
          <w:p>
            <w:r>
              <w:t>Representative cost and case consistency</w:t>
            </w:r>
          </w:p>
        </w:tc>
      </w:tr>
      <w:tr>
        <w:tc>
          <w:tcPr>
            <w:tcW w:type="dxa" w:w="5112"/>
          </w:tcPr>
          <w:p>
            <w:r>
              <w:t>Customers 26–50</w:t>
            </w:r>
          </w:p>
        </w:tc>
        <w:tc>
          <w:tcPr>
            <w:tcW w:type="dxa" w:w="5112"/>
          </w:tcPr>
          <w:p>
            <w:r>
              <w:t>Pricing patterns, repeat demand, rework</w:t>
            </w:r>
          </w:p>
        </w:tc>
      </w:tr>
      <w:tr>
        <w:tc>
          <w:tcPr>
            <w:tcW w:type="dxa" w:w="5112"/>
          </w:tcPr>
          <w:p>
            <w:r>
              <w:t>Customers 51–75</w:t>
            </w:r>
          </w:p>
        </w:tc>
        <w:tc>
          <w:tcPr>
            <w:tcW w:type="dxa" w:w="5112"/>
          </w:tcPr>
          <w:p>
            <w:r>
              <w:t>Channel economics and recurring opportunities</w:t>
            </w:r>
          </w:p>
        </w:tc>
      </w:tr>
      <w:tr>
        <w:tc>
          <w:tcPr>
            <w:tcW w:type="dxa" w:w="5112"/>
          </w:tcPr>
          <w:p>
            <w:r>
              <w:t>Customers 76–100</w:t>
            </w:r>
          </w:p>
        </w:tc>
        <w:tc>
          <w:tcPr>
            <w:tcW w:type="dxa" w:w="5112"/>
          </w:tcPr>
          <w:p>
            <w:r>
              <w:t>Unit economics, operational capacity and scale readiness</w:t>
            </w:r>
          </w:p>
        </w:tc>
      </w:tr>
    </w:tbl>
    <w:p>
      <w:r>
        <w:rPr>
          <w:b w:val="0"/>
        </w:rPr>
        <w:t>Do not treat the first 100 customers as a single homogeneous cohort. Analyse by service, geography, acquisition channel and customer segment.</w:t>
      </w:r>
    </w:p>
    <w:p>
      <w:pPr>
        <w:pStyle w:val="Heading1"/>
      </w:pPr>
      <w:r>
        <w:t>24. First 100 Customer Data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t>Customer #</w:t>
            </w:r>
          </w:p>
        </w:tc>
        <w:tc>
          <w:tcPr>
            <w:tcW w:type="dxa" w:w="1136"/>
          </w:tcPr>
          <w:p>
            <w:r>
              <w:t>Service</w:t>
            </w:r>
          </w:p>
        </w:tc>
        <w:tc>
          <w:tcPr>
            <w:tcW w:type="dxa" w:w="1136"/>
          </w:tcPr>
          <w:p>
            <w:r>
              <w:t>Revenue</w:t>
            </w:r>
          </w:p>
        </w:tc>
        <w:tc>
          <w:tcPr>
            <w:tcW w:type="dxa" w:w="1136"/>
          </w:tcPr>
          <w:p>
            <w:r>
              <w:t>Direct Cost</w:t>
            </w:r>
          </w:p>
        </w:tc>
        <w:tc>
          <w:tcPr>
            <w:tcW w:type="dxa" w:w="1136"/>
          </w:tcPr>
          <w:p>
            <w:r>
              <w:t>Contribution</w:t>
            </w:r>
          </w:p>
        </w:tc>
        <w:tc>
          <w:tcPr>
            <w:tcW w:type="dxa" w:w="1136"/>
          </w:tcPr>
          <w:p>
            <w:r>
              <w:t>CAC</w:t>
            </w:r>
          </w:p>
        </w:tc>
        <w:tc>
          <w:tcPr>
            <w:tcW w:type="dxa" w:w="1136"/>
          </w:tcPr>
          <w:p>
            <w:r>
              <w:t>Repeat?</w:t>
            </w:r>
          </w:p>
        </w:tc>
        <w:tc>
          <w:tcPr>
            <w:tcW w:type="dxa" w:w="1136"/>
          </w:tcPr>
          <w:p>
            <w:r>
              <w:t>Recurring?</w:t>
            </w:r>
          </w:p>
        </w:tc>
        <w:tc>
          <w:tcPr>
            <w:tcW w:type="dxa" w:w="1136"/>
          </w:tcPr>
          <w:p>
            <w:r>
              <w:t>Referral?</w:t>
            </w:r>
          </w:p>
        </w:tc>
      </w:tr>
      <w:tr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6–100</w:t>
            </w:r>
          </w:p>
        </w:tc>
        <w:tc>
          <w:tcPr>
            <w:tcW w:type="dxa" w:w="1136"/>
          </w:tcPr>
          <w:p>
            <w:r>
              <w:t>Use one row per customer in the operational tracker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</w:tbl>
    <w:p>
      <w:pPr>
        <w:pStyle w:val="Heading1"/>
      </w:pPr>
      <w:r>
        <w:t>25. Unit Economics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P0 Objective</w:t>
            </w:r>
          </w:p>
        </w:tc>
      </w:tr>
      <w:tr>
        <w:tc>
          <w:tcPr>
            <w:tcW w:type="dxa" w:w="5112"/>
          </w:tcPr>
          <w:p>
            <w:r>
              <w:t>AOV</w:t>
            </w:r>
          </w:p>
        </w:tc>
        <w:tc>
          <w:tcPr>
            <w:tcW w:type="dxa" w:w="5112"/>
          </w:tcPr>
          <w:p>
            <w:r>
              <w:t>Establish observed range by service.</w:t>
            </w:r>
          </w:p>
        </w:tc>
      </w:tr>
      <w:tr>
        <w:tc>
          <w:tcPr>
            <w:tcW w:type="dxa" w:w="5112"/>
          </w:tcPr>
          <w:p>
            <w:r>
              <w:t>Contribution / case</w:t>
            </w:r>
          </w:p>
        </w:tc>
        <w:tc>
          <w:tcPr>
            <w:tcW w:type="dxa" w:w="5112"/>
          </w:tcPr>
          <w:p>
            <w:r>
              <w:t>Positive and improving.</w:t>
            </w:r>
          </w:p>
        </w:tc>
      </w:tr>
      <w:tr>
        <w:tc>
          <w:tcPr>
            <w:tcW w:type="dxa" w:w="5112"/>
          </w:tcPr>
          <w:p>
            <w:r>
              <w:t>Contribution margin</w:t>
            </w:r>
          </w:p>
        </w:tc>
        <w:tc>
          <w:tcPr>
            <w:tcW w:type="dxa" w:w="5112"/>
          </w:tcPr>
          <w:p>
            <w:r>
              <w:t>Understand by service and geography.</w:t>
            </w:r>
          </w:p>
        </w:tc>
      </w:tr>
      <w:tr>
        <w:tc>
          <w:tcPr>
            <w:tcW w:type="dxa" w:w="5112"/>
          </w:tcPr>
          <w:p>
            <w:r>
              <w:t>CAC</w:t>
            </w:r>
          </w:p>
        </w:tc>
        <w:tc>
          <w:tcPr>
            <w:tcW w:type="dxa" w:w="5112"/>
          </w:tcPr>
          <w:p>
            <w:r>
              <w:t>Measure by acquisition channel.</w:t>
            </w:r>
          </w:p>
        </w:tc>
      </w:tr>
      <w:tr>
        <w:tc>
          <w:tcPr>
            <w:tcW w:type="dxa" w:w="5112"/>
          </w:tcPr>
          <w:p>
            <w:r>
              <w:t>LTV</w:t>
            </w:r>
          </w:p>
        </w:tc>
        <w:tc>
          <w:tcPr>
            <w:tcW w:type="dxa" w:w="5112"/>
          </w:tcPr>
          <w:p>
            <w:r>
              <w:t>Build from actual repeat/recurring behaviour.</w:t>
            </w:r>
          </w:p>
        </w:tc>
      </w:tr>
      <w:tr>
        <w:tc>
          <w:tcPr>
            <w:tcW w:type="dxa" w:w="5112"/>
          </w:tcPr>
          <w:p>
            <w:r>
              <w:t>LTV:CAC</w:t>
            </w:r>
          </w:p>
        </w:tc>
        <w:tc>
          <w:tcPr>
            <w:tcW w:type="dxa" w:w="5112"/>
          </w:tcPr>
          <w:p>
            <w:r>
              <w:t>Establish credible direction after sufficient data.</w:t>
            </w:r>
          </w:p>
        </w:tc>
      </w:tr>
      <w:tr>
        <w:tc>
          <w:tcPr>
            <w:tcW w:type="dxa" w:w="5112"/>
          </w:tcPr>
          <w:p>
            <w:r>
              <w:t>Rework rate</w:t>
            </w:r>
          </w:p>
        </w:tc>
        <w:tc>
          <w:tcPr>
            <w:tcW w:type="dxa" w:w="5112"/>
          </w:tcPr>
          <w:p>
            <w:r>
              <w:t>Keep low enough to protect margin and trust.</w:t>
            </w:r>
          </w:p>
        </w:tc>
      </w:tr>
      <w:tr>
        <w:tc>
          <w:tcPr>
            <w:tcW w:type="dxa" w:w="5112"/>
          </w:tcPr>
          <w:p>
            <w:r>
              <w:t>Refund rate</w:t>
            </w:r>
          </w:p>
        </w:tc>
        <w:tc>
          <w:tcPr>
            <w:tcW w:type="dxa" w:w="5112"/>
          </w:tcPr>
          <w:p>
            <w:r>
              <w:t>Understand and reduce preventable causes.</w:t>
            </w:r>
          </w:p>
        </w:tc>
      </w:tr>
      <w:tr>
        <w:tc>
          <w:tcPr>
            <w:tcW w:type="dxa" w:w="5112"/>
          </w:tcPr>
          <w:p>
            <w:r>
              <w:t>Recurring conversion</w:t>
            </w:r>
          </w:p>
        </w:tc>
        <w:tc>
          <w:tcPr>
            <w:tcW w:type="dxa" w:w="5112"/>
          </w:tcPr>
          <w:p>
            <w:r>
              <w:t>Identify services with strong monitoring potential.</w:t>
            </w:r>
          </w:p>
        </w:tc>
      </w:tr>
      <w:tr>
        <w:tc>
          <w:tcPr>
            <w:tcW w:type="dxa" w:w="5112"/>
          </w:tcPr>
          <w:p>
            <w:r>
              <w:t>Referral rate</w:t>
            </w:r>
          </w:p>
        </w:tc>
        <w:tc>
          <w:tcPr>
            <w:tcW w:type="dxa" w:w="5112"/>
          </w:tcPr>
          <w:p>
            <w:r>
              <w:t>Measure trust-driven growth.</w:t>
            </w:r>
          </w:p>
        </w:tc>
      </w:tr>
    </w:tbl>
    <w:p>
      <w:pPr>
        <w:pStyle w:val="Heading1"/>
      </w:pPr>
      <w:r>
        <w:t>26. Scale Readiness Gates</w:t>
      </w:r>
    </w:p>
    <w:p>
      <w:r>
        <w:rPr>
          <w:b w:val="0"/>
        </w:rPr>
        <w:t>ASOJU should consider scaling only when the following are supported by actual pilot data:</w:t>
      </w:r>
    </w:p>
    <w:p>
      <w:pPr>
        <w:pStyle w:val="ListBullet"/>
      </w:pPr>
      <w:r>
        <w:t>A repeatable customer acquisition path exists.</w:t>
      </w:r>
    </w:p>
    <w:p>
      <w:pPr>
        <w:pStyle w:val="ListBullet"/>
      </w:pPr>
      <w:r>
        <w:t>Core services have positive contribution economics.</w:t>
      </w:r>
    </w:p>
    <w:p>
      <w:pPr>
        <w:pStyle w:val="ListBullet"/>
      </w:pPr>
      <w:r>
        <w:t>Representative delivery quality is consistent.</w:t>
      </w:r>
    </w:p>
    <w:p>
      <w:pPr>
        <w:pStyle w:val="ListBullet"/>
      </w:pPr>
      <w:r>
        <w:t>SLA performance is operationally manageable.</w:t>
      </w:r>
    </w:p>
    <w:p>
      <w:pPr>
        <w:pStyle w:val="ListBullet"/>
      </w:pPr>
      <w:r>
        <w:t>Rework does not erase contribution.</w:t>
      </w:r>
    </w:p>
    <w:p>
      <w:pPr>
        <w:pStyle w:val="ListBullet"/>
      </w:pPr>
      <w:r>
        <w:t>Customer satisfaction and trust remain strong.</w:t>
      </w:r>
    </w:p>
    <w:p>
      <w:pPr>
        <w:pStyle w:val="ListBullet"/>
      </w:pPr>
      <w:r>
        <w:t>At least one recurring/repeat revenue pathway is demonstrated.</w:t>
      </w:r>
    </w:p>
    <w:p>
      <w:pPr>
        <w:pStyle w:val="ListBullet"/>
      </w:pPr>
      <w:r>
        <w:t>Case economics can be measured reliably.</w:t>
      </w:r>
    </w:p>
    <w:p>
      <w:pPr>
        <w:pStyle w:val="ListBullet"/>
      </w:pPr>
      <w:r>
        <w:t>The team can increase volume without losing operational control.</w:t>
      </w:r>
    </w:p>
    <w:p>
      <w:pPr>
        <w:pStyle w:val="Heading1"/>
      </w:pPr>
      <w:r>
        <w:t>27. Red Flags</w:t>
      </w:r>
    </w:p>
    <w:p>
      <w:pPr>
        <w:pStyle w:val="ListBullet"/>
      </w:pPr>
      <w:r>
        <w:t>High revenue but negative contribution.</w:t>
      </w:r>
    </w:p>
    <w:p>
      <w:pPr>
        <w:pStyle w:val="ListBullet"/>
      </w:pPr>
      <w:r>
        <w:t>Discounting required to close most customers.</w:t>
      </w:r>
    </w:p>
    <w:p>
      <w:pPr>
        <w:pStyle w:val="ListBullet"/>
      </w:pPr>
      <w:r>
        <w:t>Travel costs routinely exceed assumptions.</w:t>
      </w:r>
    </w:p>
    <w:p>
      <w:pPr>
        <w:pStyle w:val="ListBullet"/>
      </w:pPr>
      <w:r>
        <w:t>Representative rework consumes material margin.</w:t>
      </w:r>
    </w:p>
    <w:p>
      <w:pPr>
        <w:pStyle w:val="ListBullet"/>
      </w:pPr>
      <w:r>
        <w:t>Concierge time is much higher than assumed.</w:t>
      </w:r>
    </w:p>
    <w:p>
      <w:pPr>
        <w:pStyle w:val="ListBullet"/>
      </w:pPr>
      <w:r>
        <w:t>Customers buy once but do not return despite obvious recurring need.</w:t>
      </w:r>
    </w:p>
    <w:p>
      <w:pPr>
        <w:pStyle w:val="ListBullet"/>
      </w:pPr>
      <w:r>
        <w:t>CAC rises faster than contribution.</w:t>
      </w:r>
    </w:p>
    <w:p>
      <w:pPr>
        <w:pStyle w:val="ListBullet"/>
      </w:pPr>
      <w:r>
        <w:t>Operational complexity grows faster than revenue.</w:t>
      </w:r>
    </w:p>
    <w:p>
      <w:pPr>
        <w:pStyle w:val="ListBullet"/>
      </w:pPr>
      <w:r>
        <w:t>A service requires specialist capabilities ASOJU cannot reliably provide.</w:t>
      </w:r>
    </w:p>
    <w:p>
      <w:pPr>
        <w:pStyle w:val="ListBullet"/>
      </w:pPr>
      <w:r>
        <w:t>Cash burn grows faster than validated demand.</w:t>
      </w:r>
    </w:p>
    <w:p>
      <w:pPr>
        <w:pStyle w:val="Heading1"/>
      </w:pPr>
      <w:r>
        <w:t>28. Financial Experiment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Experiment</w:t>
            </w:r>
          </w:p>
        </w:tc>
        <w:tc>
          <w:tcPr>
            <w:tcW w:type="dxa" w:w="1461"/>
          </w:tcPr>
          <w:p>
            <w:r>
              <w:t>Hypothesis</w:t>
            </w:r>
          </w:p>
        </w:tc>
        <w:tc>
          <w:tcPr>
            <w:tcW w:type="dxa" w:w="1461"/>
          </w:tcPr>
          <w:p>
            <w:r>
              <w:t>Metric</w:t>
            </w:r>
          </w:p>
        </w:tc>
        <w:tc>
          <w:tcPr>
            <w:tcW w:type="dxa" w:w="1461"/>
          </w:tcPr>
          <w:p>
            <w:r>
              <w:t>Start</w:t>
            </w:r>
          </w:p>
        </w:tc>
        <w:tc>
          <w:tcPr>
            <w:tcW w:type="dxa" w:w="1461"/>
          </w:tcPr>
          <w:p>
            <w:r>
              <w:t>End</w:t>
            </w:r>
          </w:p>
        </w:tc>
        <w:tc>
          <w:tcPr>
            <w:tcW w:type="dxa" w:w="1461"/>
          </w:tcPr>
          <w:p>
            <w:r>
              <w:t>Result</w:t>
            </w:r>
          </w:p>
        </w:tc>
        <w:tc>
          <w:tcPr>
            <w:tcW w:type="dxa" w:w="1461"/>
          </w:tcPr>
          <w:p>
            <w:r>
              <w:t>Decision</w:t>
            </w:r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29. P0 Financial Review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Cadence</w:t>
            </w:r>
          </w:p>
        </w:tc>
        <w:tc>
          <w:tcPr>
            <w:tcW w:type="dxa" w:w="5112"/>
          </w:tcPr>
          <w:p>
            <w:r>
              <w:t>Review</w:t>
            </w:r>
          </w:p>
        </w:tc>
      </w:tr>
      <w:tr>
        <w:tc>
          <w:tcPr>
            <w:tcW w:type="dxa" w:w="5112"/>
          </w:tcPr>
          <w:p>
            <w:r>
              <w:t>Daily</w:t>
            </w:r>
          </w:p>
        </w:tc>
        <w:tc>
          <w:tcPr>
            <w:tcW w:type="dxa" w:w="5112"/>
          </w:tcPr>
          <w:p>
            <w:r>
              <w:t>Cash-critical exceptions, payments, high-cost cases, overdue work.</w:t>
            </w:r>
          </w:p>
        </w:tc>
      </w:tr>
      <w:tr>
        <w:tc>
          <w:tcPr>
            <w:tcW w:type="dxa" w:w="5112"/>
          </w:tcPr>
          <w:p>
            <w:r>
              <w:t>Weekly</w:t>
            </w:r>
          </w:p>
        </w:tc>
        <w:tc>
          <w:tcPr>
            <w:tcW w:type="dxa" w:w="5112"/>
          </w:tcPr>
          <w:p>
            <w:r>
              <w:t>Cases, revenue, direct costs, contribution, CAC by channel, refunds, rework.</w:t>
            </w:r>
          </w:p>
        </w:tc>
      </w:tr>
      <w:tr>
        <w:tc>
          <w:tcPr>
            <w:tcW w:type="dxa" w:w="5112"/>
          </w:tcPr>
          <w:p>
            <w:r>
              <w:t>Monthly</w:t>
            </w:r>
          </w:p>
        </w:tc>
        <w:tc>
          <w:tcPr>
            <w:tcW w:type="dxa" w:w="5112"/>
          </w:tcPr>
          <w:p>
            <w:r>
              <w:t>Service economics, recurring revenue, LTV assumptions, fixed costs, runway.</w:t>
            </w:r>
          </w:p>
        </w:tc>
      </w:tr>
      <w:tr>
        <w:tc>
          <w:tcPr>
            <w:tcW w:type="dxa" w:w="5112"/>
          </w:tcPr>
          <w:p>
            <w:r>
              <w:t>At 25/50/75/100 customers</w:t>
            </w:r>
          </w:p>
        </w:tc>
        <w:tc>
          <w:tcPr>
            <w:tcW w:type="dxa" w:w="5112"/>
          </w:tcPr>
          <w:p>
            <w:r>
              <w:t>Formal unit-economics review and scale decision.</w:t>
            </w:r>
          </w:p>
        </w:tc>
      </w:tr>
    </w:tbl>
    <w:p>
      <w:pPr>
        <w:pStyle w:val="Heading1"/>
      </w:pPr>
      <w:r>
        <w:t>30. Data Sources</w:t>
      </w:r>
    </w:p>
    <w:p>
      <w:pPr>
        <w:pStyle w:val="ListBullet"/>
      </w:pPr>
      <w:r>
        <w:t>ASOJU case tracker.</w:t>
      </w:r>
    </w:p>
    <w:p>
      <w:pPr>
        <w:pStyle w:val="ListBullet"/>
      </w:pPr>
      <w:r>
        <w:t>Payment records.</w:t>
      </w:r>
    </w:p>
    <w:p>
      <w:pPr>
        <w:pStyle w:val="ListBullet"/>
      </w:pPr>
      <w:r>
        <w:t>Representative payment records.</w:t>
      </w:r>
    </w:p>
    <w:p>
      <w:pPr>
        <w:pStyle w:val="ListBullet"/>
      </w:pPr>
      <w:r>
        <w:t>Travel/expense records.</w:t>
      </w:r>
    </w:p>
    <w:p>
      <w:pPr>
        <w:pStyle w:val="ListBullet"/>
      </w:pPr>
      <w:r>
        <w:t>Quote records.</w:t>
      </w:r>
    </w:p>
    <w:p>
      <w:pPr>
        <w:pStyle w:val="ListBullet"/>
      </w:pPr>
      <w:r>
        <w:t>Customer feedback.</w:t>
      </w:r>
    </w:p>
    <w:p>
      <w:pPr>
        <w:pStyle w:val="ListBullet"/>
      </w:pPr>
      <w:r>
        <w:t>GTM channel tracking.</w:t>
      </w:r>
    </w:p>
    <w:p>
      <w:pPr>
        <w:pStyle w:val="ListBullet"/>
      </w:pPr>
      <w:r>
        <w:t>Recurring monitoring records.</w:t>
      </w:r>
    </w:p>
    <w:p>
      <w:r>
        <w:rPr>
          <w:b w:val="0"/>
        </w:rPr>
        <w:t>The financial model should be reconciled to operational records. Do not build a financial view that cannot be traced back to cases.</w:t>
      </w:r>
    </w:p>
    <w:p>
      <w:pPr>
        <w:pStyle w:val="Heading1"/>
      </w:pPr>
      <w:r>
        <w:t>31. P0 Financial Decision Rules</w:t>
      </w:r>
    </w:p>
    <w:p>
      <w:pPr>
        <w:pStyle w:val="ListNumber"/>
      </w:pPr>
      <w:r>
        <w:t>Do not confuse revenue with profit.</w:t>
      </w:r>
    </w:p>
    <w:p>
      <w:pPr>
        <w:pStyle w:val="ListNumber"/>
      </w:pPr>
      <w:r>
        <w:t>Do not treat founder time as economically free when assessing scale.</w:t>
      </w:r>
    </w:p>
    <w:p>
      <w:pPr>
        <w:pStyle w:val="ListNumber"/>
      </w:pPr>
      <w:r>
        <w:t>Do not hide travel or third-party costs.</w:t>
      </w:r>
    </w:p>
    <w:p>
      <w:pPr>
        <w:pStyle w:val="ListNumber"/>
      </w:pPr>
      <w:r>
        <w:t>Do not use gross margin alone to judge customer value.</w:t>
      </w:r>
    </w:p>
    <w:p>
      <w:pPr>
        <w:pStyle w:val="ListNumber"/>
      </w:pPr>
      <w:r>
        <w:t>Do not scale a service with persistently negative contribution without a deliberate strategic reason.</w:t>
      </w:r>
    </w:p>
    <w:p>
      <w:pPr>
        <w:pStyle w:val="ListNumber"/>
      </w:pPr>
      <w:r>
        <w:t>Do not lock pricing before enough pilot data exists.</w:t>
      </w:r>
    </w:p>
    <w:p>
      <w:pPr>
        <w:pStyle w:val="ListNumber"/>
      </w:pPr>
      <w:r>
        <w:t>Do not optimize CAC without considering customer quality and contribution.</w:t>
      </w:r>
    </w:p>
    <w:p>
      <w:pPr>
        <w:pStyle w:val="ListNumber"/>
      </w:pPr>
      <w:r>
        <w:t>Do not assume recurring revenue until customers actually renew.</w:t>
      </w:r>
    </w:p>
    <w:p>
      <w:pPr>
        <w:pStyle w:val="ListNumber"/>
      </w:pPr>
      <w:r>
        <w:t>Do not forecast LTV from hope; build it from observed behaviour.</w:t>
      </w:r>
    </w:p>
    <w:p>
      <w:pPr>
        <w:pStyle w:val="ListNumber"/>
      </w:pPr>
      <w:r>
        <w:t>Use the first 100 customers to replace assumptions with evidence.</w:t>
      </w:r>
    </w:p>
    <w:p>
      <w:pPr>
        <w:pStyle w:val="Heading1"/>
      </w:pPr>
      <w:r>
        <w:t>32. Strategic Economic Model</w:t>
      </w:r>
    </w:p>
    <w:p>
      <w:r>
        <w:rPr>
          <w:b w:val="0"/>
        </w:rPr>
        <w:t>The ASOJU economic flywheel should become:</w:t>
      </w:r>
    </w:p>
    <w:p>
      <w:r>
        <w:rPr>
          <w:b/>
        </w:rPr>
        <w:t>TRUSTED SERVICE → CUSTOMER PAYS → CASE DELIVERED → CUSTOMER TRUST INCREASES → REPEAT / MONITOR → REFERRAL → LOWER ACQUISITION COST → HIGHER CUSTOMER LIFETIME VALUE</w:t>
      </w:r>
    </w:p>
    <w:p>
      <w:r>
        <w:rPr>
          <w:b w:val="0"/>
        </w:rPr>
        <w:t>If the service delivers trust but cannot generate contribution, the operating model must be redesigned. If it generates contribution but damages trust, it should not scale.</w:t>
      </w:r>
    </w:p>
    <w:p>
      <w:pPr>
        <w:pStyle w:val="Heading1"/>
      </w:pPr>
      <w:r>
        <w:t>33. P0 Financial Model Status</w:t>
      </w:r>
    </w:p>
    <w:p>
      <w:r>
        <w:rPr>
          <w:b w:val="0"/>
        </w:rPr>
        <w:t>This document deliberately provides the structure and formulas for the financial model rather than unsupported numeric forecasts. Fixed public prices, representative rates, CAC targets, LTV assumptions, break-even points and cash requirements should be populated from ASOJU's actual pilot data.</w:t>
      </w:r>
    </w:p>
    <w:p>
      <w:r>
        <w:rPr>
          <w:b w:val="0"/>
        </w:rPr>
        <w:t>Document owner: ASOJU Commercial / Finance / Operations. Version: 1.0.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