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ASOJU DEVELOPER IMPLEMENTATION CHECKLIST &amp; SPRINT PLAN</w:t>
      </w:r>
    </w:p>
    <w:p>
      <w:pPr>
        <w:jc w:val="center"/>
      </w:pPr>
      <w:r>
        <w:rPr>
          <w:i/>
        </w:rPr>
        <w:t>Derived from ASOJU Master Product &amp; Engineering Blueprint v2.0</w:t>
        <w:br/>
        <w:t>P0 / P1 / P2 implementation sequence • 15 August 2026</w:t>
      </w:r>
    </w:p>
    <w:p>
      <w:pPr>
        <w:pStyle w:val="Heading1"/>
      </w:pPr>
      <w:r>
        <w:t>1. Purpose</w:t>
      </w:r>
    </w:p>
    <w:p>
      <w:r>
        <w:t>This plan converts the Master Product &amp; Engineering Blueprint v2.0 into an implementation sequence for the developer/team. It preserves the blueprint's architecture and dependency order rather than introducing a parallel product definition.</w:t>
      </w:r>
    </w:p>
    <w:p>
      <w:pPr>
        <w:pStyle w:val="Heading1"/>
      </w:pPr>
      <w:r>
        <w:t>2. Target architecture</w:t>
      </w:r>
    </w:p>
    <w:p>
      <w:r>
        <w:t>Customer → AI Concierge → Structured Request → Automation Eligibility → Authentication → Case → Scope → Pricing Engine → Quote → Acceptance → Payment → Execution → Evidence → Completion</w:t>
      </w:r>
    </w:p>
    <w:p>
      <w:r>
        <w:t>Exception path: Any stage → Escalation → Operations → Resolution → Customer Update → Resume or Close.</w:t>
      </w:r>
    </w:p>
    <w:p>
      <w:pPr>
        <w:pStyle w:val="Heading1"/>
      </w:pPr>
      <w:r>
        <w:t>3. Delivery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Priority</w:t>
            </w:r>
          </w:p>
        </w:tc>
        <w:tc>
          <w:tcPr>
            <w:tcW w:type="dxa" w:w="3504"/>
          </w:tcPr>
          <w:p>
            <w:r>
              <w:t>Meaning</w:t>
            </w:r>
          </w:p>
        </w:tc>
        <w:tc>
          <w:tcPr>
            <w:tcW w:type="dxa" w:w="3504"/>
          </w:tcPr>
          <w:p>
            <w:r>
              <w:t>Release rule</w:t>
            </w:r>
          </w:p>
        </w:tc>
      </w:tr>
      <w:tr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Required for the core automated customer journey and safe production foundation.</w:t>
            </w:r>
          </w:p>
        </w:tc>
        <w:tc>
          <w:tcPr>
            <w:tcW w:type="dxa" w:w="3504"/>
          </w:tcPr>
          <w:p>
            <w:r>
              <w:t>Must pass before broad automation launch.</w:t>
            </w:r>
          </w:p>
        </w:tc>
      </w:tr>
      <w:tr>
        <w:tc>
          <w:tcPr>
            <w:tcW w:type="dxa" w:w="3504"/>
          </w:tcPr>
          <w:p>
            <w:r>
              <w:t>P1</w:t>
            </w:r>
          </w:p>
        </w:tc>
        <w:tc>
          <w:tcPr>
            <w:tcW w:type="dxa" w:w="3504"/>
          </w:tcPr>
          <w:p>
            <w:r>
              <w:t>Required to expand automation, operational control and customer experience.</w:t>
            </w:r>
          </w:p>
        </w:tc>
        <w:tc>
          <w:tcPr>
            <w:tcW w:type="dxa" w:w="3504"/>
          </w:tcPr>
          <w:p>
            <w:r>
              <w:t>Can follow core P0 launch.</w:t>
            </w:r>
          </w:p>
        </w:tc>
      </w:tr>
      <w:tr>
        <w:tc>
          <w:tcPr>
            <w:tcW w:type="dxa" w:w="3504"/>
          </w:tcPr>
          <w:p>
            <w:r>
              <w:t>P2</w:t>
            </w:r>
          </w:p>
        </w:tc>
        <w:tc>
          <w:tcPr>
            <w:tcW w:type="dxa" w:w="3504"/>
          </w:tcPr>
          <w:p>
            <w:r>
              <w:t>Optimization, advanced automation and scale features.</w:t>
            </w:r>
          </w:p>
        </w:tc>
        <w:tc>
          <w:tcPr>
            <w:tcW w:type="dxa" w:w="3504"/>
          </w:tcPr>
          <w:p>
            <w:r>
              <w:t>Enable after P0/P1 stability.</w:t>
            </w:r>
          </w:p>
        </w:tc>
      </w:tr>
    </w:tbl>
    <w:p>
      <w:pPr>
        <w:pStyle w:val="Heading1"/>
      </w:pPr>
      <w:r>
        <w:t>4. Sprint 0 — Repository &amp; architecture audit</w:t>
      </w:r>
    </w:p>
    <w:p>
      <w:r>
        <w:t>Goal: establish the actual implementation baseline before changing production architecture.</w:t>
      </w:r>
    </w:p>
    <w:p>
      <w:pPr>
        <w:pStyle w:val="ListBullet"/>
      </w:pPr>
      <w:r>
        <w:t>Inventory existing frontend routes/components/state.</w:t>
      </w:r>
    </w:p>
    <w:p>
      <w:pPr>
        <w:pStyle w:val="ListBullet"/>
      </w:pPr>
      <w:r>
        <w:t>Inventory backend/API services and contracts.</w:t>
      </w:r>
    </w:p>
    <w:p>
      <w:pPr>
        <w:pStyle w:val="ListBullet"/>
      </w:pPr>
      <w:r>
        <w:t>Inventory database schema/migrations.</w:t>
      </w:r>
    </w:p>
    <w:p>
      <w:pPr>
        <w:pStyle w:val="ListBullet"/>
      </w:pPr>
      <w:r>
        <w:t>Inventory authentication and authorization.</w:t>
      </w:r>
    </w:p>
    <w:p>
      <w:pPr>
        <w:pStyle w:val="ListBullet"/>
      </w:pPr>
      <w:r>
        <w:t>Inventory payment provider integration.</w:t>
      </w:r>
    </w:p>
    <w:p>
      <w:pPr>
        <w:pStyle w:val="ListBullet"/>
      </w:pPr>
      <w:r>
        <w:t>Inventory current pricing data/configuration.</w:t>
      </w:r>
    </w:p>
    <w:p>
      <w:pPr>
        <w:pStyle w:val="ListBullet"/>
      </w:pPr>
      <w:r>
        <w:t>Inventory admin/operations tooling.</w:t>
      </w:r>
    </w:p>
    <w:p>
      <w:pPr>
        <w:pStyle w:val="ListBullet"/>
      </w:pPr>
      <w:r>
        <w:t>Map existing implementation to Master Blueprint domains.</w:t>
      </w:r>
    </w:p>
    <w:p>
      <w:pPr>
        <w:pStyle w:val="ListBullet"/>
      </w:pPr>
      <w:r>
        <w:t>Identify reusable components/services.</w:t>
      </w:r>
    </w:p>
    <w:p>
      <w:pPr>
        <w:pStyle w:val="ListBullet"/>
      </w:pPr>
      <w:r>
        <w:t>Record gaps, conflicts and unknowns before implementation.</w:t>
      </w:r>
    </w:p>
    <w:p>
      <w:r>
        <w:t>Exit criteria: a reviewed gap map and implementation dependency map exist.</w:t>
      </w:r>
    </w:p>
    <w:p>
      <w:pPr>
        <w:pStyle w:val="Heading1"/>
      </w:pPr>
      <w:r>
        <w:t>5. P0 —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Workstream</w:t>
            </w:r>
          </w:p>
        </w:tc>
        <w:tc>
          <w:tcPr>
            <w:tcW w:type="dxa" w:w="5256"/>
          </w:tcPr>
          <w:p>
            <w:r>
              <w:t>Deliverables</w:t>
            </w:r>
          </w:p>
        </w:tc>
      </w:tr>
      <w:tr>
        <w:tc>
          <w:tcPr>
            <w:tcW w:type="dxa" w:w="5256"/>
          </w:tcPr>
          <w:p>
            <w:r>
              <w:t>Auth</w:t>
            </w:r>
          </w:p>
        </w:tc>
        <w:tc>
          <w:tcPr>
            <w:tcW w:type="dxa" w:w="5256"/>
          </w:tcPr>
          <w:p>
            <w:r>
              <w:t>Authenticated customer session, protected routes, safe Concierge handoff.</w:t>
            </w:r>
          </w:p>
        </w:tc>
      </w:tr>
      <w:tr>
        <w:tc>
          <w:tcPr>
            <w:tcW w:type="dxa" w:w="5256"/>
          </w:tcPr>
          <w:p>
            <w:r>
              <w:t>Domain model</w:t>
            </w:r>
          </w:p>
        </w:tc>
        <w:tc>
          <w:tcPr>
            <w:tcW w:type="dxa" w:w="5256"/>
          </w:tcPr>
          <w:p>
            <w:r>
              <w:t>Core User, Service, StructuredRequest, Case, Scope, Quote, Payment entities aligned.</w:t>
            </w:r>
          </w:p>
        </w:tc>
      </w:tr>
      <w:tr>
        <w:tc>
          <w:tcPr>
            <w:tcW w:type="dxa" w:w="5256"/>
          </w:tcPr>
          <w:p>
            <w:r>
              <w:t>API contracts</w:t>
            </w:r>
          </w:p>
        </w:tc>
        <w:tc>
          <w:tcPr>
            <w:tcW w:type="dxa" w:w="5256"/>
          </w:tcPr>
          <w:p>
            <w:r>
              <w:t>Typed contracts for request, case, scope, quote and payment flows.</w:t>
            </w:r>
          </w:p>
        </w:tc>
      </w:tr>
      <w:tr>
        <w:tc>
          <w:tcPr>
            <w:tcW w:type="dxa" w:w="5256"/>
          </w:tcPr>
          <w:p>
            <w:r>
              <w:t>Authorization</w:t>
            </w:r>
          </w:p>
        </w:tc>
        <w:tc>
          <w:tcPr>
            <w:tcW w:type="dxa" w:w="5256"/>
          </w:tcPr>
          <w:p>
            <w:r>
              <w:t>Object-level customer/staff permissions.</w:t>
            </w:r>
          </w:p>
        </w:tc>
      </w:tr>
      <w:tr>
        <w:tc>
          <w:tcPr>
            <w:tcW w:type="dxa" w:w="5256"/>
          </w:tcPr>
          <w:p>
            <w:r>
              <w:t>Idempotency</w:t>
            </w:r>
          </w:p>
        </w:tc>
        <w:tc>
          <w:tcPr>
            <w:tcW w:type="dxa" w:w="5256"/>
          </w:tcPr>
          <w:p>
            <w:r>
              <w:t>Case creation and payment initiation protection.</w:t>
            </w:r>
          </w:p>
        </w:tc>
      </w:tr>
      <w:tr>
        <w:tc>
          <w:tcPr>
            <w:tcW w:type="dxa" w:w="5256"/>
          </w:tcPr>
          <w:p>
            <w:r>
              <w:t>Observability</w:t>
            </w:r>
          </w:p>
        </w:tc>
        <w:tc>
          <w:tcPr>
            <w:tcW w:type="dxa" w:w="5256"/>
          </w:tcPr>
          <w:p>
            <w:r>
              <w:t>Correlation IDs, error logging and safe audit events.</w:t>
            </w:r>
          </w:p>
        </w:tc>
      </w:tr>
      <w:tr>
        <w:tc>
          <w:tcPr>
            <w:tcW w:type="dxa" w:w="5256"/>
          </w:tcPr>
          <w:p>
            <w:r>
              <w:t>Feature controls</w:t>
            </w:r>
          </w:p>
        </w:tc>
        <w:tc>
          <w:tcPr>
            <w:tcW w:type="dxa" w:w="5256"/>
          </w:tcPr>
          <w:p>
            <w:r>
              <w:t>Service/workflow automation kill switches.</w:t>
            </w:r>
          </w:p>
        </w:tc>
      </w:tr>
    </w:tbl>
    <w:p>
      <w:pPr>
        <w:pStyle w:val="Heading1"/>
      </w:pPr>
      <w:r>
        <w:t>6. P0 — AI Concierge</w:t>
      </w:r>
    </w:p>
    <w:p>
      <w:pPr>
        <w:pStyle w:val="ListBullet"/>
      </w:pPr>
      <w:r>
        <w:t>Implement Concierge state model.</w:t>
      </w:r>
    </w:p>
    <w:p>
      <w:pPr>
        <w:pStyle w:val="ListBullet"/>
      </w:pPr>
      <w:r>
        <w:t>Implement six-service classification.</w:t>
      </w:r>
    </w:p>
    <w:p>
      <w:pPr>
        <w:pStyle w:val="ListBullet"/>
      </w:pPr>
      <w:r>
        <w:t>Implement structured request schema.</w:t>
      </w:r>
    </w:p>
    <w:p>
      <w:pPr>
        <w:pStyle w:val="ListBullet"/>
      </w:pPr>
      <w:r>
        <w:t>Implement clarification flow.</w:t>
      </w:r>
    </w:p>
    <w:p>
      <w:pPr>
        <w:pStyle w:val="ListBullet"/>
      </w:pPr>
      <w:r>
        <w:t>Implement structured-output validation.</w:t>
      </w:r>
    </w:p>
    <w:p>
      <w:pPr>
        <w:pStyle w:val="ListBullet"/>
      </w:pPr>
      <w:r>
        <w:t>Implement typed backend tool contracts.</w:t>
      </w:r>
    </w:p>
    <w:p>
      <w:pPr>
        <w:pStyle w:val="ListBullet"/>
      </w:pPr>
      <w:r>
        <w:t>Prevent arbitrary database/payment/pricing actions.</w:t>
      </w:r>
    </w:p>
    <w:p>
      <w:pPr>
        <w:pStyle w:val="ListBullet"/>
      </w:pPr>
      <w:r>
        <w:t>Implement authentication handoff.</w:t>
      </w:r>
    </w:p>
    <w:p>
      <w:pPr>
        <w:pStyle w:val="ListBullet"/>
      </w:pPr>
      <w:r>
        <w:t>Implement customer-safe automation status.</w:t>
      </w:r>
    </w:p>
    <w:p>
      <w:pPr>
        <w:pStyle w:val="Heading1"/>
      </w:pPr>
      <w:r>
        <w:t>7. P0 — Automation eligibility</w:t>
      </w:r>
    </w:p>
    <w:p>
      <w:pPr>
        <w:pStyle w:val="ListBullet"/>
      </w:pPr>
      <w:r>
        <w:t>Implement AutomationCapability.</w:t>
      </w:r>
    </w:p>
    <w:p>
      <w:pPr>
        <w:pStyle w:val="ListBullet"/>
      </w:pPr>
      <w:r>
        <w:t>Implement AutomationRule.</w:t>
      </w:r>
    </w:p>
    <w:p>
      <w:pPr>
        <w:pStyle w:val="ListBullet"/>
      </w:pPr>
      <w:r>
        <w:t>Implement AutomationDecision.</w:t>
      </w:r>
    </w:p>
    <w:p>
      <w:pPr>
        <w:pStyle w:val="ListBullet"/>
      </w:pPr>
      <w:r>
        <w:t>Implement AUTO/CUSTOMER_INPUT/ESCALATE/UNSUPPORTED/BLOCKED.</w:t>
      </w:r>
    </w:p>
    <w:p>
      <w:pPr>
        <w:pStyle w:val="ListBullet"/>
      </w:pPr>
      <w:r>
        <w:t>Validate service capability, coverage, required inputs, pricing availability and configured escalation conditions.</w:t>
      </w:r>
    </w:p>
    <w:p>
      <w:pPr>
        <w:pStyle w:val="ListBullet"/>
      </w:pPr>
      <w:r>
        <w:t>Re-evaluate eligibility at consequential tool execution time.</w:t>
      </w:r>
    </w:p>
    <w:p>
      <w:pPr>
        <w:pStyle w:val="Heading1"/>
      </w:pPr>
      <w:r>
        <w:t>8. P0 — Automated case creation</w:t>
      </w:r>
    </w:p>
    <w:p>
      <w:pPr>
        <w:pStyle w:val="ListBullet"/>
      </w:pPr>
      <w:r>
        <w:t>Implement CreateCaseFromStructuredRequest.</w:t>
      </w:r>
    </w:p>
    <w:p>
      <w:pPr>
        <w:pStyle w:val="ListBullet"/>
      </w:pPr>
      <w:r>
        <w:t>Require authentication.</w:t>
      </w:r>
    </w:p>
    <w:p>
      <w:pPr>
        <w:pStyle w:val="ListBullet"/>
      </w:pPr>
      <w:r>
        <w:t>Validate structured request and scope.</w:t>
      </w:r>
    </w:p>
    <w:p>
      <w:pPr>
        <w:pStyle w:val="ListBullet"/>
      </w:pPr>
      <w:r>
        <w:t>Require AUTO decision.</w:t>
      </w:r>
    </w:p>
    <w:p>
      <w:pPr>
        <w:pStyle w:val="ListBullet"/>
      </w:pPr>
      <w:r>
        <w:t>Add idempotency.</w:t>
      </w:r>
    </w:p>
    <w:p>
      <w:pPr>
        <w:pStyle w:val="ListBullet"/>
      </w:pPr>
      <w:r>
        <w:t>Persist case + initial authoritative scope safely.</w:t>
      </w:r>
    </w:p>
    <w:p>
      <w:pPr>
        <w:pStyle w:val="ListBullet"/>
      </w:pPr>
      <w:r>
        <w:t>Return authoritative case reference/state.</w:t>
      </w:r>
    </w:p>
    <w:p>
      <w:pPr>
        <w:pStyle w:val="ListBullet"/>
      </w:pPr>
      <w:r>
        <w:t>Test duplicate and timeout recovery.</w:t>
      </w:r>
    </w:p>
    <w:p>
      <w:pPr>
        <w:pStyle w:val="Heading1"/>
      </w:pPr>
      <w:r>
        <w:t>9. P0 — Scope engine</w:t>
      </w:r>
    </w:p>
    <w:p>
      <w:pPr>
        <w:pStyle w:val="ListBullet"/>
      </w:pPr>
      <w:r>
        <w:t>Implement CaseScope versioning.</w:t>
      </w:r>
    </w:p>
    <w:p>
      <w:pPr>
        <w:pStyle w:val="ListBullet"/>
      </w:pPr>
      <w:r>
        <w:t>Normalize objective/location/timing/requirements.</w:t>
      </w:r>
    </w:p>
    <w:p>
      <w:pPr>
        <w:pStyle w:val="ListBullet"/>
      </w:pPr>
      <w:r>
        <w:t>Apply approved service templates/checklists.</w:t>
      </w:r>
    </w:p>
    <w:p>
      <w:pPr>
        <w:pStyle w:val="ListBullet"/>
      </w:pPr>
      <w:r>
        <w:t>Validate inclusions/exclusions.</w:t>
      </w:r>
    </w:p>
    <w:p>
      <w:pPr>
        <w:pStyle w:val="ListBullet"/>
      </w:pPr>
      <w:r>
        <w:t>Flag unsupported special conditions.</w:t>
      </w:r>
    </w:p>
    <w:p>
      <w:pPr>
        <w:pStyle w:val="ListBullet"/>
      </w:pPr>
      <w:r>
        <w:t>Prevent invalid scope from reaching pricing.</w:t>
      </w:r>
    </w:p>
    <w:p>
      <w:pPr>
        <w:pStyle w:val="Heading1"/>
      </w:pPr>
      <w:r>
        <w:t>10. P0 — Pricing engine</w:t>
      </w:r>
    </w:p>
    <w:p>
      <w:pPr>
        <w:pStyle w:val="ListBullet"/>
      </w:pPr>
      <w:r>
        <w:t>Implement PriceBook versioning.</w:t>
      </w:r>
    </w:p>
    <w:p>
      <w:pPr>
        <w:pStyle w:val="ListBullet"/>
      </w:pPr>
      <w:r>
        <w:t>Implement PriceRule.</w:t>
      </w:r>
    </w:p>
    <w:p>
      <w:pPr>
        <w:pStyle w:val="ListBullet"/>
      </w:pPr>
      <w:r>
        <w:t>Implement MultiplierRule.</w:t>
      </w:r>
    </w:p>
    <w:p>
      <w:pPr>
        <w:pStyle w:val="ListBullet"/>
      </w:pPr>
      <w:r>
        <w:t>Implement ExternalCostRule.</w:t>
      </w:r>
    </w:p>
    <w:p>
      <w:pPr>
        <w:pStyle w:val="ListBullet"/>
      </w:pPr>
      <w:r>
        <w:t>Implement DiscountRule where enabled.</w:t>
      </w:r>
    </w:p>
    <w:p>
      <w:pPr>
        <w:pStyle w:val="ListBullet"/>
      </w:pPr>
      <w:r>
        <w:t>Implement deterministic calculation.</w:t>
      </w:r>
    </w:p>
    <w:p>
      <w:pPr>
        <w:pStyle w:val="ListBullet"/>
      </w:pPr>
      <w:r>
        <w:t>Preserve pricing source/version traceability.</w:t>
      </w:r>
    </w:p>
    <w:p>
      <w:pPr>
        <w:pStyle w:val="ListBullet"/>
      </w:pPr>
      <w:r>
        <w:t>Reject unknown required prices rather than guessing.</w:t>
      </w:r>
    </w:p>
    <w:p>
      <w:pPr>
        <w:pStyle w:val="ListBullet"/>
      </w:pPr>
      <w:r>
        <w:t>Make historical quotes reproducible.</w:t>
      </w:r>
    </w:p>
    <w:p>
      <w:pPr>
        <w:pStyle w:val="Heading1"/>
      </w:pPr>
      <w:r>
        <w:t>11. P0 — Quote</w:t>
      </w:r>
    </w:p>
    <w:p>
      <w:pPr>
        <w:pStyle w:val="ListBullet"/>
      </w:pPr>
      <w:r>
        <w:t>Calculate quote from confirmed scope.</w:t>
      </w:r>
    </w:p>
    <w:p>
      <w:pPr>
        <w:pStyle w:val="ListBullet"/>
      </w:pPr>
      <w:r>
        <w:t>Generate line items.</w:t>
      </w:r>
    </w:p>
    <w:p>
      <w:pPr>
        <w:pStyle w:val="ListBullet"/>
      </w:pPr>
      <w:r>
        <w:t>Apply approved multipliers and external costs.</w:t>
      </w:r>
    </w:p>
    <w:p>
      <w:pPr>
        <w:pStyle w:val="ListBullet"/>
      </w:pPr>
      <w:r>
        <w:t>Calculate tax/discount where configured.</w:t>
      </w:r>
    </w:p>
    <w:p>
      <w:pPr>
        <w:pStyle w:val="ListBullet"/>
      </w:pPr>
      <w:r>
        <w:t>Persist price-book/rule versions.</w:t>
      </w:r>
    </w:p>
    <w:p>
      <w:pPr>
        <w:pStyle w:val="ListBullet"/>
      </w:pPr>
      <w:r>
        <w:t>Implement issue/expiry.</w:t>
      </w:r>
    </w:p>
    <w:p>
      <w:pPr>
        <w:pStyle w:val="ListBullet"/>
      </w:pPr>
      <w:r>
        <w:t>Implement quote acceptance.</w:t>
      </w:r>
    </w:p>
    <w:p>
      <w:pPr>
        <w:pStyle w:val="ListBullet"/>
      </w:pPr>
      <w:r>
        <w:t>Create new quote version for material changes.</w:t>
      </w:r>
    </w:p>
    <w:p>
      <w:pPr>
        <w:pStyle w:val="Heading1"/>
      </w:pPr>
      <w:r>
        <w:t>12. P0 — Payment</w:t>
      </w:r>
    </w:p>
    <w:p>
      <w:pPr>
        <w:pStyle w:val="ListBullet"/>
      </w:pPr>
      <w:r>
        <w:t>Implement server-side payment initiation.</w:t>
      </w:r>
    </w:p>
    <w:p>
      <w:pPr>
        <w:pStyle w:val="ListBullet"/>
      </w:pPr>
      <w:r>
        <w:t>Require valid accepted quote.</w:t>
      </w:r>
    </w:p>
    <w:p>
      <w:pPr>
        <w:pStyle w:val="ListBullet"/>
      </w:pPr>
      <w:r>
        <w:t>Bind amount to authoritative quote.</w:t>
      </w:r>
    </w:p>
    <w:p>
      <w:pPr>
        <w:pStyle w:val="ListBullet"/>
      </w:pPr>
      <w:r>
        <w:t>Add payment idempotency.</w:t>
      </w:r>
    </w:p>
    <w:p>
      <w:pPr>
        <w:pStyle w:val="ListBullet"/>
      </w:pPr>
      <w:r>
        <w:t>Verify provider events/webhooks.</w:t>
      </w:r>
    </w:p>
    <w:p>
      <w:pPr>
        <w:pStyle w:val="ListBullet"/>
      </w:pPr>
      <w:r>
        <w:t>Implement reconciliation.</w:t>
      </w:r>
    </w:p>
    <w:p>
      <w:pPr>
        <w:pStyle w:val="ListBullet"/>
      </w:pPr>
      <w:r>
        <w:t>Prevent false browser-based success.</w:t>
      </w:r>
    </w:p>
    <w:p>
      <w:pPr>
        <w:pStyle w:val="ListBullet"/>
      </w:pPr>
      <w:r>
        <w:t>Test webhook replay and payment timeout.</w:t>
      </w:r>
    </w:p>
    <w:p>
      <w:pPr>
        <w:pStyle w:val="Heading1"/>
      </w:pPr>
      <w:r>
        <w:t>13. P0 — Escalation</w:t>
      </w:r>
    </w:p>
    <w:p>
      <w:pPr>
        <w:pStyle w:val="ListBullet"/>
      </w:pPr>
      <w:r>
        <w:t>Persist Escalation entity.</w:t>
      </w:r>
    </w:p>
    <w:p>
      <w:pPr>
        <w:pStyle w:val="ListBullet"/>
      </w:pPr>
      <w:r>
        <w:t>Create operations handoff summary.</w:t>
      </w:r>
    </w:p>
    <w:p>
      <w:pPr>
        <w:pStyle w:val="ListBullet"/>
      </w:pPr>
      <w:r>
        <w:t>Route escalation to operations.</w:t>
      </w:r>
    </w:p>
    <w:p>
      <w:pPr>
        <w:pStyle w:val="ListBullet"/>
      </w:pPr>
      <w:r>
        <w:t>Show customer-safe escalation message.</w:t>
      </w:r>
    </w:p>
    <w:p>
      <w:pPr>
        <w:pStyle w:val="ListBullet"/>
      </w:pPr>
      <w:r>
        <w:t>Allow staff resolution.</w:t>
      </w:r>
    </w:p>
    <w:p>
      <w:pPr>
        <w:pStyle w:val="ListBullet"/>
      </w:pPr>
      <w:r>
        <w:t>Allow workflow resume where prerequisites are restored.</w:t>
      </w:r>
    </w:p>
    <w:p>
      <w:pPr>
        <w:pStyle w:val="ListBullet"/>
      </w:pPr>
      <w:r>
        <w:t>Keep internal reason/risk information restricted.</w:t>
      </w:r>
    </w:p>
    <w:p>
      <w:pPr>
        <w:pStyle w:val="Heading1"/>
      </w:pPr>
      <w:r>
        <w:t>14. P0 — Customer portal</w:t>
      </w:r>
    </w:p>
    <w:p>
      <w:pPr>
        <w:pStyle w:val="ListBullet"/>
      </w:pPr>
      <w:r>
        <w:t>Dashboard.</w:t>
      </w:r>
    </w:p>
    <w:p>
      <w:pPr>
        <w:pStyle w:val="ListBullet"/>
      </w:pPr>
      <w:r>
        <w:t>Cases list.</w:t>
      </w:r>
    </w:p>
    <w:p>
      <w:pPr>
        <w:pStyle w:val="ListBullet"/>
      </w:pPr>
      <w:r>
        <w:t>Case detail.</w:t>
      </w:r>
    </w:p>
    <w:p>
      <w:pPr>
        <w:pStyle w:val="ListBullet"/>
      </w:pPr>
      <w:r>
        <w:t>Automation status.</w:t>
      </w:r>
    </w:p>
    <w:p>
      <w:pPr>
        <w:pStyle w:val="ListBullet"/>
      </w:pPr>
      <w:r>
        <w:t>Quote ready/review/expired states.</w:t>
      </w:r>
    </w:p>
    <w:p>
      <w:pPr>
        <w:pStyle w:val="ListBullet"/>
      </w:pPr>
      <w:r>
        <w:t>Quote acceptance.</w:t>
      </w:r>
    </w:p>
    <w:p>
      <w:pPr>
        <w:pStyle w:val="ListBullet"/>
      </w:pPr>
      <w:r>
        <w:t>Payment required/pending/success/failure states.</w:t>
      </w:r>
    </w:p>
    <w:p>
      <w:pPr>
        <w:pStyle w:val="ListBullet"/>
      </w:pPr>
      <w:r>
        <w:t>Escalation notice.</w:t>
      </w:r>
    </w:p>
    <w:p>
      <w:pPr>
        <w:pStyle w:val="ListBullet"/>
      </w:pPr>
      <w:r>
        <w:t>Evidence/report access.</w:t>
      </w:r>
    </w:p>
    <w:p>
      <w:pPr>
        <w:pStyle w:val="ListBullet"/>
      </w:pPr>
      <w:r>
        <w:t>Notifications.</w:t>
      </w:r>
    </w:p>
    <w:p>
      <w:pPr>
        <w:pStyle w:val="Heading1"/>
      </w:pPr>
      <w:r>
        <w:t>15. P0 — Admin/Operations</w:t>
      </w:r>
    </w:p>
    <w:p>
      <w:pPr>
        <w:pStyle w:val="ListBullet"/>
      </w:pPr>
      <w:r>
        <w:t>Operations overview.</w:t>
      </w:r>
    </w:p>
    <w:p>
      <w:pPr>
        <w:pStyle w:val="ListBullet"/>
      </w:pPr>
      <w:r>
        <w:t>Escalation queue.</w:t>
      </w:r>
    </w:p>
    <w:p>
      <w:pPr>
        <w:pStyle w:val="ListBullet"/>
      </w:pPr>
      <w:r>
        <w:t>Case management.</w:t>
      </w:r>
    </w:p>
    <w:p>
      <w:pPr>
        <w:pStyle w:val="ListBullet"/>
      </w:pPr>
      <w:r>
        <w:t>Automation status monitoring.</w:t>
      </w:r>
    </w:p>
    <w:p>
      <w:pPr>
        <w:pStyle w:val="ListBullet"/>
      </w:pPr>
      <w:r>
        <w:t>Basic assignment/scheduling.</w:t>
      </w:r>
    </w:p>
    <w:p>
      <w:pPr>
        <w:pStyle w:val="ListBullet"/>
      </w:pPr>
      <w:r>
        <w:t>Payment exception/reconciliation view.</w:t>
      </w:r>
    </w:p>
    <w:p>
      <w:pPr>
        <w:pStyle w:val="ListBullet"/>
      </w:pPr>
      <w:r>
        <w:t>Audit activity.</w:t>
      </w:r>
    </w:p>
    <w:p>
      <w:pPr>
        <w:pStyle w:val="ListBullet"/>
      </w:pPr>
      <w:r>
        <w:t>Automation kill switches.</w:t>
      </w:r>
    </w:p>
    <w:p>
      <w:pPr>
        <w:pStyle w:val="Heading1"/>
      </w:pPr>
      <w:r>
        <w:t>16. P0 — Critical E2E acceptance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Scenario</w:t>
            </w:r>
          </w:p>
        </w:tc>
        <w:tc>
          <w:tcPr>
            <w:tcW w:type="dxa" w:w="5256"/>
          </w:tcPr>
          <w:p>
            <w:r>
              <w:t>Expected outcome</w:t>
            </w:r>
          </w:p>
        </w:tc>
      </w:tr>
      <w:tr>
        <w:tc>
          <w:tcPr>
            <w:tcW w:type="dxa" w:w="5256"/>
          </w:tcPr>
          <w:p>
            <w:r>
              <w:t>Eligible request</w:t>
            </w:r>
          </w:p>
        </w:tc>
        <w:tc>
          <w:tcPr>
            <w:tcW w:type="dxa" w:w="5256"/>
          </w:tcPr>
          <w:p>
            <w:r>
              <w:t>Concierge → case → quote → payment.</w:t>
            </w:r>
          </w:p>
        </w:tc>
      </w:tr>
      <w:tr>
        <w:tc>
          <w:tcPr>
            <w:tcW w:type="dxa" w:w="5256"/>
          </w:tcPr>
          <w:p>
            <w:r>
              <w:t>Missing information</w:t>
            </w:r>
          </w:p>
        </w:tc>
        <w:tc>
          <w:tcPr>
            <w:tcW w:type="dxa" w:w="5256"/>
          </w:tcPr>
          <w:p>
            <w:r>
              <w:t>AI requests only required information.</w:t>
            </w:r>
          </w:p>
        </w:tc>
      </w:tr>
      <w:tr>
        <w:tc>
          <w:tcPr>
            <w:tcW w:type="dxa" w:w="5256"/>
          </w:tcPr>
          <w:p>
            <w:r>
              <w:t>Unknown price</w:t>
            </w:r>
          </w:p>
        </w:tc>
        <w:tc>
          <w:tcPr>
            <w:tcW w:type="dxa" w:w="5256"/>
          </w:tcPr>
          <w:p>
            <w:r>
              <w:t>Escalation/block; no invented price.</w:t>
            </w:r>
          </w:p>
        </w:tc>
      </w:tr>
      <w:tr>
        <w:tc>
          <w:tcPr>
            <w:tcW w:type="dxa" w:w="5256"/>
          </w:tcPr>
          <w:p>
            <w:r>
              <w:t>Duplicate case call</w:t>
            </w:r>
          </w:p>
        </w:tc>
        <w:tc>
          <w:tcPr>
            <w:tcW w:type="dxa" w:w="5256"/>
          </w:tcPr>
          <w:p>
            <w:r>
              <w:t>One case.</w:t>
            </w:r>
          </w:p>
        </w:tc>
      </w:tr>
      <w:tr>
        <w:tc>
          <w:tcPr>
            <w:tcW w:type="dxa" w:w="5256"/>
          </w:tcPr>
          <w:p>
            <w:r>
              <w:t>Expired quote</w:t>
            </w:r>
          </w:p>
        </w:tc>
        <w:tc>
          <w:tcPr>
            <w:tcW w:type="dxa" w:w="5256"/>
          </w:tcPr>
          <w:p>
            <w:r>
              <w:t>Cannot accept/pay.</w:t>
            </w:r>
          </w:p>
        </w:tc>
      </w:tr>
      <w:tr>
        <w:tc>
          <w:tcPr>
            <w:tcW w:type="dxa" w:w="5256"/>
          </w:tcPr>
          <w:p>
            <w:r>
              <w:t>Payment webhook replay</w:t>
            </w:r>
          </w:p>
        </w:tc>
        <w:tc>
          <w:tcPr>
            <w:tcW w:type="dxa" w:w="5256"/>
          </w:tcPr>
          <w:p>
            <w:r>
              <w:t>One payment transition.</w:t>
            </w:r>
          </w:p>
        </w:tc>
      </w:tr>
      <w:tr>
        <w:tc>
          <w:tcPr>
            <w:tcW w:type="dxa" w:w="5256"/>
          </w:tcPr>
          <w:p>
            <w:r>
              <w:t>Auth expiry</w:t>
            </w:r>
          </w:p>
        </w:tc>
        <w:tc>
          <w:tcPr>
            <w:tcW w:type="dxa" w:w="5256"/>
          </w:tcPr>
          <w:p>
            <w:r>
              <w:t>Safe re-authentication and context restoration.</w:t>
            </w:r>
          </w:p>
        </w:tc>
      </w:tr>
      <w:tr>
        <w:tc>
          <w:tcPr>
            <w:tcW w:type="dxa" w:w="5256"/>
          </w:tcPr>
          <w:p>
            <w:r>
              <w:t>Unauthorized case/evidence</w:t>
            </w:r>
          </w:p>
        </w:tc>
        <w:tc>
          <w:tcPr>
            <w:tcW w:type="dxa" w:w="5256"/>
          </w:tcPr>
          <w:p>
            <w:r>
              <w:t>Access denied.</w:t>
            </w:r>
          </w:p>
        </w:tc>
      </w:tr>
      <w:tr>
        <w:tc>
          <w:tcPr>
            <w:tcW w:type="dxa" w:w="5256"/>
          </w:tcPr>
          <w:p>
            <w:r>
              <w:t>Automation disabled</w:t>
            </w:r>
          </w:p>
        </w:tc>
        <w:tc>
          <w:tcPr>
            <w:tcW w:type="dxa" w:w="5256"/>
          </w:tcPr>
          <w:p>
            <w:r>
              <w:t>Workflow follows configured non-automated path.</w:t>
            </w:r>
          </w:p>
        </w:tc>
      </w:tr>
    </w:tbl>
    <w:p>
      <w:pPr>
        <w:pStyle w:val="Heading1"/>
      </w:pPr>
      <w:r>
        <w:t>17. P1 — Operational maturity</w:t>
      </w:r>
    </w:p>
    <w:p>
      <w:pPr>
        <w:pStyle w:val="ListBullet"/>
      </w:pPr>
      <w:r>
        <w:t>Full automation control center.</w:t>
      </w:r>
    </w:p>
    <w:p>
      <w:pPr>
        <w:pStyle w:val="ListBullet"/>
      </w:pPr>
      <w:r>
        <w:t>Advanced escalation routing.</w:t>
      </w:r>
    </w:p>
    <w:p>
      <w:pPr>
        <w:pStyle w:val="ListBullet"/>
      </w:pPr>
      <w:r>
        <w:t>Pricing administration UI.</w:t>
      </w:r>
    </w:p>
    <w:p>
      <w:pPr>
        <w:pStyle w:val="ListBullet"/>
      </w:pPr>
      <w:r>
        <w:t>Price-rule/multiplier editors.</w:t>
      </w:r>
    </w:p>
    <w:p>
      <w:pPr>
        <w:pStyle w:val="ListBullet"/>
      </w:pPr>
      <w:r>
        <w:t>External pricing integrations.</w:t>
      </w:r>
    </w:p>
    <w:p>
      <w:pPr>
        <w:pStyle w:val="ListBullet"/>
      </w:pPr>
      <w:r>
        <w:t>Quote manual review tools.</w:t>
      </w:r>
    </w:p>
    <w:p>
      <w:pPr>
        <w:pStyle w:val="ListBullet"/>
      </w:pPr>
      <w:r>
        <w:t>Full payment reconciliation tooling.</w:t>
      </w:r>
    </w:p>
    <w:p>
      <w:pPr>
        <w:pStyle w:val="ListBullet"/>
      </w:pPr>
      <w:r>
        <w:t>Advanced scheduling.</w:t>
      </w:r>
    </w:p>
    <w:p>
      <w:pPr>
        <w:pStyle w:val="ListBullet"/>
      </w:pPr>
      <w:r>
        <w:t>Evidence/QC workflows.</w:t>
      </w:r>
    </w:p>
    <w:p>
      <w:pPr>
        <w:pStyle w:val="ListBullet"/>
      </w:pPr>
      <w:r>
        <w:t>Operational exception dashboard.</w:t>
      </w:r>
    </w:p>
    <w:p>
      <w:pPr>
        <w:pStyle w:val="Heading1"/>
      </w:pPr>
      <w:r>
        <w:t>18. P1 — Customer experience maturity</w:t>
      </w:r>
    </w:p>
    <w:p>
      <w:pPr>
        <w:pStyle w:val="ListBullet"/>
      </w:pPr>
      <w:r>
        <w:t>Richer case timeline.</w:t>
      </w:r>
    </w:p>
    <w:p>
      <w:pPr>
        <w:pStyle w:val="ListBullet"/>
      </w:pPr>
      <w:r>
        <w:t>Real-time/near-real-time status updates where infrastructure supports it.</w:t>
      </w:r>
    </w:p>
    <w:p>
      <w:pPr>
        <w:pStyle w:val="ListBullet"/>
      </w:pPr>
      <w:r>
        <w:t>Improved quote explanation.</w:t>
      </w:r>
    </w:p>
    <w:p>
      <w:pPr>
        <w:pStyle w:val="ListBullet"/>
      </w:pPr>
      <w:r>
        <w:t>Customer-visible schedule management.</w:t>
      </w:r>
    </w:p>
    <w:p>
      <w:pPr>
        <w:pStyle w:val="ListBullet"/>
      </w:pPr>
      <w:r>
        <w:t>Enhanced notifications.</w:t>
      </w:r>
    </w:p>
    <w:p>
      <w:pPr>
        <w:pStyle w:val="ListBullet"/>
      </w:pPr>
      <w:r>
        <w:t>Referral and membership modules where enabled.</w:t>
      </w:r>
    </w:p>
    <w:p>
      <w:pPr>
        <w:pStyle w:val="ListBullet"/>
      </w:pPr>
      <w:r>
        <w:t>Accessibility and responsive hardening.</w:t>
      </w:r>
    </w:p>
    <w:p>
      <w:pPr>
        <w:pStyle w:val="Heading1"/>
      </w:pPr>
      <w:r>
        <w:t>19. P1 — Automation expansion</w:t>
      </w:r>
    </w:p>
    <w:p>
      <w:pPr>
        <w:pStyle w:val="ListBullet"/>
      </w:pPr>
      <w:r>
        <w:t>Enable A2/A3 broadly for approved deterministic workflows.</w:t>
      </w:r>
    </w:p>
    <w:p>
      <w:pPr>
        <w:pStyle w:val="ListBullet"/>
      </w:pPr>
      <w:r>
        <w:t>Measure automation completion.</w:t>
      </w:r>
    </w:p>
    <w:p>
      <w:pPr>
        <w:pStyle w:val="ListBullet"/>
      </w:pPr>
      <w:r>
        <w:t>Measure false automation and missed escalation.</w:t>
      </w:r>
    </w:p>
    <w:p>
      <w:pPr>
        <w:pStyle w:val="ListBullet"/>
      </w:pPr>
      <w:r>
        <w:t>Add service/workflow-specific eligibility rules.</w:t>
      </w:r>
    </w:p>
    <w:p>
      <w:pPr>
        <w:pStyle w:val="ListBullet"/>
      </w:pPr>
      <w:r>
        <w:t>Add provider availability integrations where supported.</w:t>
      </w:r>
    </w:p>
    <w:p>
      <w:pPr>
        <w:pStyle w:val="ListBullet"/>
      </w:pPr>
      <w:r>
        <w:t>Expand A4 payment automation only after safety criteria pass.</w:t>
      </w:r>
    </w:p>
    <w:p>
      <w:pPr>
        <w:pStyle w:val="Heading1"/>
      </w:pPr>
      <w:r>
        <w:t>20. P2 — Advanced automation</w:t>
      </w:r>
    </w:p>
    <w:p>
      <w:pPr>
        <w:pStyle w:val="ListBullet"/>
      </w:pPr>
      <w:r>
        <w:t>Selective A5 straight-through fulfilment.</w:t>
      </w:r>
    </w:p>
    <w:p>
      <w:pPr>
        <w:pStyle w:val="ListBullet"/>
      </w:pPr>
      <w:r>
        <w:t>More provider integrations.</w:t>
      </w:r>
    </w:p>
    <w:p>
      <w:pPr>
        <w:pStyle w:val="ListBullet"/>
      </w:pPr>
      <w:r>
        <w:t>Advanced scheduling automation.</w:t>
      </w:r>
    </w:p>
    <w:p>
      <w:pPr>
        <w:pStyle w:val="ListBullet"/>
      </w:pPr>
      <w:r>
        <w:t>Automated execution task orchestration.</w:t>
      </w:r>
    </w:p>
    <w:p>
      <w:pPr>
        <w:pStyle w:val="ListBullet"/>
      </w:pPr>
      <w:r>
        <w:t>Advanced pricing optimization where approved.</w:t>
      </w:r>
    </w:p>
    <w:p>
      <w:pPr>
        <w:pStyle w:val="ListBullet"/>
      </w:pPr>
      <w:r>
        <w:t>Expanded analytics and operational forecasting.</w:t>
      </w:r>
    </w:p>
    <w:p>
      <w:pPr>
        <w:pStyle w:val="Heading1"/>
      </w:pPr>
      <w:r>
        <w:t>21. Six-service rollout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Service</w:t>
            </w:r>
          </w:p>
        </w:tc>
        <w:tc>
          <w:tcPr>
            <w:tcW w:type="dxa" w:w="5256"/>
          </w:tcPr>
          <w:p>
            <w:r>
              <w:t>Initial rollout approach</w:t>
            </w:r>
          </w:p>
        </w:tc>
      </w:tr>
      <w:tr>
        <w:tc>
          <w:tcPr>
            <w:tcW w:type="dxa" w:w="5256"/>
          </w:tcPr>
          <w:p>
            <w:r>
              <w:t>Arrivals</w:t>
            </w:r>
          </w:p>
        </w:tc>
        <w:tc>
          <w:tcPr>
            <w:tcW w:type="dxa" w:w="5256"/>
          </w:tcPr>
          <w:p>
            <w:r>
              <w:t>Start with standard, well-defined arrival/transport/accommodation workflows where configured.</w:t>
            </w:r>
          </w:p>
        </w:tc>
      </w:tr>
      <w:tr>
        <w:tc>
          <w:tcPr>
            <w:tcW w:type="dxa" w:w="5256"/>
          </w:tcPr>
          <w:p>
            <w:r>
              <w:t>Inspect</w:t>
            </w:r>
          </w:p>
        </w:tc>
        <w:tc>
          <w:tcPr>
            <w:tcW w:type="dxa" w:w="5256"/>
          </w:tcPr>
          <w:p>
            <w:r>
              <w:t>Start with standardized inspection types/checklists.</w:t>
            </w:r>
          </w:p>
        </w:tc>
      </w:tr>
      <w:tr>
        <w:tc>
          <w:tcPr>
            <w:tcW w:type="dxa" w:w="5256"/>
          </w:tcPr>
          <w:p>
            <w:r>
              <w:t>Build</w:t>
            </w:r>
          </w:p>
        </w:tc>
        <w:tc>
          <w:tcPr>
            <w:tcW w:type="dxa" w:w="5256"/>
          </w:tcPr>
          <w:p>
            <w:r>
              <w:t>Start with structured, lower-complexity workflows; escalate bespoke scope.</w:t>
            </w:r>
          </w:p>
        </w:tc>
      </w:tr>
      <w:tr>
        <w:tc>
          <w:tcPr>
            <w:tcW w:type="dxa" w:w="5256"/>
          </w:tcPr>
          <w:p>
            <w:r>
              <w:t>Care</w:t>
            </w:r>
          </w:p>
        </w:tc>
        <w:tc>
          <w:tcPr>
            <w:tcW w:type="dxa" w:w="5256"/>
          </w:tcPr>
          <w:p>
            <w:r>
              <w:t>Start with clearly defined supported tasks and permissions.</w:t>
            </w:r>
          </w:p>
        </w:tc>
      </w:tr>
      <w:tr>
        <w:tc>
          <w:tcPr>
            <w:tcW w:type="dxa" w:w="5256"/>
          </w:tcPr>
          <w:p>
            <w:r>
              <w:t>Verify</w:t>
            </w:r>
          </w:p>
        </w:tc>
        <w:tc>
          <w:tcPr>
            <w:tcW w:type="dxa" w:w="5256"/>
          </w:tcPr>
          <w:p>
            <w:r>
              <w:t>Start with verification workflows with deterministic criteria.</w:t>
            </w:r>
          </w:p>
        </w:tc>
      </w:tr>
      <w:tr>
        <w:tc>
          <w:tcPr>
            <w:tcW w:type="dxa" w:w="5256"/>
          </w:tcPr>
          <w:p>
            <w:r>
              <w:t>Assist</w:t>
            </w:r>
          </w:p>
        </w:tc>
        <w:tc>
          <w:tcPr>
            <w:tcW w:type="dxa" w:w="5256"/>
          </w:tcPr>
          <w:p>
            <w:r>
              <w:t>Start with repeatable task classes; escalate novel tasks.</w:t>
            </w:r>
          </w:p>
        </w:tc>
      </w:tr>
    </w:tbl>
    <w:p>
      <w:r>
        <w:t>The blueprint does not define detailed service pricing/capability matrices. Those must come from approved ASOJU configuration before activation.</w:t>
      </w:r>
    </w:p>
    <w:p>
      <w:pPr>
        <w:pStyle w:val="Heading1"/>
      </w:pPr>
      <w:r>
        <w:t>22. Developer work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Epic</w:t>
            </w:r>
          </w:p>
        </w:tc>
        <w:tc>
          <w:tcPr>
            <w:tcW w:type="dxa" w:w="3504"/>
          </w:tcPr>
          <w:p>
            <w:r>
              <w:t>P0/P1/P2</w:t>
            </w:r>
          </w:p>
        </w:tc>
        <w:tc>
          <w:tcPr>
            <w:tcW w:type="dxa" w:w="3504"/>
          </w:tcPr>
          <w:p>
            <w:r>
              <w:t>Dependency</w:t>
            </w:r>
          </w:p>
        </w:tc>
      </w:tr>
      <w:tr>
        <w:tc>
          <w:tcPr>
            <w:tcW w:type="dxa" w:w="3504"/>
          </w:tcPr>
          <w:p>
            <w:r>
              <w:t>Repository audit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None</w:t>
            </w:r>
          </w:p>
        </w:tc>
      </w:tr>
      <w:tr>
        <w:tc>
          <w:tcPr>
            <w:tcW w:type="dxa" w:w="3504"/>
          </w:tcPr>
          <w:p>
            <w:r>
              <w:t>Auth/session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Existing identity architecture</w:t>
            </w:r>
          </w:p>
        </w:tc>
      </w:tr>
      <w:tr>
        <w:tc>
          <w:tcPr>
            <w:tcW w:type="dxa" w:w="3504"/>
          </w:tcPr>
          <w:p>
            <w:r>
              <w:t>Concierge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Frontend + AI orchestration</w:t>
            </w:r>
          </w:p>
        </w:tc>
      </w:tr>
      <w:tr>
        <w:tc>
          <w:tcPr>
            <w:tcW w:type="dxa" w:w="3504"/>
          </w:tcPr>
          <w:p>
            <w:r>
              <w:t>Automation engine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Service configuration</w:t>
            </w:r>
          </w:p>
        </w:tc>
      </w:tr>
      <w:tr>
        <w:tc>
          <w:tcPr>
            <w:tcW w:type="dxa" w:w="3504"/>
          </w:tcPr>
          <w:p>
            <w:r>
              <w:t>Case service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Database/API/auth</w:t>
            </w:r>
          </w:p>
        </w:tc>
      </w:tr>
      <w:tr>
        <w:tc>
          <w:tcPr>
            <w:tcW w:type="dxa" w:w="3504"/>
          </w:tcPr>
          <w:p>
            <w:r>
              <w:t>Scope engine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Case/service configuration</w:t>
            </w:r>
          </w:p>
        </w:tc>
      </w:tr>
      <w:tr>
        <w:tc>
          <w:tcPr>
            <w:tcW w:type="dxa" w:w="3504"/>
          </w:tcPr>
          <w:p>
            <w:r>
              <w:t>Pricing engine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Price configuration</w:t>
            </w:r>
          </w:p>
        </w:tc>
      </w:tr>
      <w:tr>
        <w:tc>
          <w:tcPr>
            <w:tcW w:type="dxa" w:w="3504"/>
          </w:tcPr>
          <w:p>
            <w:r>
              <w:t>Quote service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Scope + pricing</w:t>
            </w:r>
          </w:p>
        </w:tc>
      </w:tr>
      <w:tr>
        <w:tc>
          <w:tcPr>
            <w:tcW w:type="dxa" w:w="3504"/>
          </w:tcPr>
          <w:p>
            <w:r>
              <w:t>Payment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Quote + provider</w:t>
            </w:r>
          </w:p>
        </w:tc>
      </w:tr>
      <w:tr>
        <w:tc>
          <w:tcPr>
            <w:tcW w:type="dxa" w:w="3504"/>
          </w:tcPr>
          <w:p>
            <w:r>
              <w:t>Escalation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Automation + operations</w:t>
            </w:r>
          </w:p>
        </w:tc>
      </w:tr>
      <w:tr>
        <w:tc>
          <w:tcPr>
            <w:tcW w:type="dxa" w:w="3504"/>
          </w:tcPr>
          <w:p>
            <w:r>
              <w:t>Customer portal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Case/quote/payment APIs</w:t>
            </w:r>
          </w:p>
        </w:tc>
      </w:tr>
      <w:tr>
        <w:tc>
          <w:tcPr>
            <w:tcW w:type="dxa" w:w="3504"/>
          </w:tcPr>
          <w:p>
            <w:r>
              <w:t>Operations dashboard</w:t>
            </w:r>
          </w:p>
        </w:tc>
        <w:tc>
          <w:tcPr>
            <w:tcW w:type="dxa" w:w="3504"/>
          </w:tcPr>
          <w:p>
            <w:r>
              <w:t>P0</w:t>
            </w:r>
          </w:p>
        </w:tc>
        <w:tc>
          <w:tcPr>
            <w:tcW w:type="dxa" w:w="3504"/>
          </w:tcPr>
          <w:p>
            <w:r>
              <w:t>Case/escalation/pricing APIs</w:t>
            </w:r>
          </w:p>
        </w:tc>
      </w:tr>
      <w:tr>
        <w:tc>
          <w:tcPr>
            <w:tcW w:type="dxa" w:w="3504"/>
          </w:tcPr>
          <w:p>
            <w:r>
              <w:t>Pricing admin</w:t>
            </w:r>
          </w:p>
        </w:tc>
        <w:tc>
          <w:tcPr>
            <w:tcW w:type="dxa" w:w="3504"/>
          </w:tcPr>
          <w:p>
            <w:r>
              <w:t>P1</w:t>
            </w:r>
          </w:p>
        </w:tc>
        <w:tc>
          <w:tcPr>
            <w:tcW w:type="dxa" w:w="3504"/>
          </w:tcPr>
          <w:p>
            <w:r>
              <w:t>Pricing engine</w:t>
            </w:r>
          </w:p>
        </w:tc>
      </w:tr>
      <w:tr>
        <w:tc>
          <w:tcPr>
            <w:tcW w:type="dxa" w:w="3504"/>
          </w:tcPr>
          <w:p>
            <w:r>
              <w:t>Advanced integrations</w:t>
            </w:r>
          </w:p>
        </w:tc>
        <w:tc>
          <w:tcPr>
            <w:tcW w:type="dxa" w:w="3504"/>
          </w:tcPr>
          <w:p>
            <w:r>
              <w:t>P1/P2</w:t>
            </w:r>
          </w:p>
        </w:tc>
        <w:tc>
          <w:tcPr>
            <w:tcW w:type="dxa" w:w="3504"/>
          </w:tcPr>
          <w:p>
            <w:r>
              <w:t>External providers</w:t>
            </w:r>
          </w:p>
        </w:tc>
      </w:tr>
      <w:tr>
        <w:tc>
          <w:tcPr>
            <w:tcW w:type="dxa" w:w="3504"/>
          </w:tcPr>
          <w:p>
            <w:r>
              <w:t>A5 automation</w:t>
            </w:r>
          </w:p>
        </w:tc>
        <w:tc>
          <w:tcPr>
            <w:tcW w:type="dxa" w:w="3504"/>
          </w:tcPr>
          <w:p>
            <w:r>
              <w:t>P2</w:t>
            </w:r>
          </w:p>
        </w:tc>
        <w:tc>
          <w:tcPr>
            <w:tcW w:type="dxa" w:w="3504"/>
          </w:tcPr>
          <w:p>
            <w:r>
              <w:t>Stable A4 + execution integrations</w:t>
            </w:r>
          </w:p>
        </w:tc>
      </w:tr>
    </w:tbl>
    <w:p>
      <w:pPr>
        <w:pStyle w:val="Heading1"/>
      </w:pPr>
      <w:r>
        <w:t>23. Definition of ready</w:t>
      </w:r>
    </w:p>
    <w:p>
      <w:pPr>
        <w:pStyle w:val="ListBullet"/>
      </w:pPr>
      <w:r>
        <w:t>Acceptance criteria written.</w:t>
      </w:r>
    </w:p>
    <w:p>
      <w:pPr>
        <w:pStyle w:val="ListBullet"/>
      </w:pPr>
      <w:r>
        <w:t>API contract identified.</w:t>
      </w:r>
    </w:p>
    <w:p>
      <w:pPr>
        <w:pStyle w:val="ListBullet"/>
      </w:pPr>
      <w:r>
        <w:t>Database impact identified.</w:t>
      </w:r>
    </w:p>
    <w:p>
      <w:pPr>
        <w:pStyle w:val="ListBullet"/>
      </w:pPr>
      <w:r>
        <w:t>Authorization requirements defined.</w:t>
      </w:r>
    </w:p>
    <w:p>
      <w:pPr>
        <w:pStyle w:val="ListBullet"/>
      </w:pPr>
      <w:r>
        <w:t>Customer/internal visibility defined.</w:t>
      </w:r>
    </w:p>
    <w:p>
      <w:pPr>
        <w:pStyle w:val="ListBullet"/>
      </w:pPr>
      <w:r>
        <w:t>Error and recovery states defined.</w:t>
      </w:r>
    </w:p>
    <w:p>
      <w:pPr>
        <w:pStyle w:val="ListBullet"/>
      </w:pPr>
      <w:r>
        <w:t>Idempotency requirement identified for consequential operations.</w:t>
      </w:r>
    </w:p>
    <w:p>
      <w:pPr>
        <w:pStyle w:val="ListBullet"/>
      </w:pPr>
      <w:r>
        <w:t>Audit requirement identified.</w:t>
      </w:r>
    </w:p>
    <w:p>
      <w:pPr>
        <w:pStyle w:val="ListBullet"/>
      </w:pPr>
      <w:r>
        <w:t>Feature flag/kill switch identified where automation is involved.</w:t>
      </w:r>
    </w:p>
    <w:p>
      <w:pPr>
        <w:pStyle w:val="Heading1"/>
      </w:pPr>
      <w:r>
        <w:t>24. Definition of done</w:t>
      </w:r>
    </w:p>
    <w:p>
      <w:pPr>
        <w:pStyle w:val="ListBullet"/>
      </w:pPr>
      <w:r>
        <w:t>Implementation matches the approved contract.</w:t>
      </w:r>
    </w:p>
    <w:p>
      <w:pPr>
        <w:pStyle w:val="ListBullet"/>
      </w:pPr>
      <w:r>
        <w:t>Unit/integration tests pass.</w:t>
      </w:r>
    </w:p>
    <w:p>
      <w:pPr>
        <w:pStyle w:val="ListBullet"/>
      </w:pPr>
      <w:r>
        <w:t>Authorization tests pass.</w:t>
      </w:r>
    </w:p>
    <w:p>
      <w:pPr>
        <w:pStyle w:val="ListBullet"/>
      </w:pPr>
      <w:r>
        <w:t>Error/recovery states are implemented.</w:t>
      </w:r>
    </w:p>
    <w:p>
      <w:pPr>
        <w:pStyle w:val="ListBullet"/>
      </w:pPr>
      <w:r>
        <w:t>Audit events exist for consequential actions.</w:t>
      </w:r>
    </w:p>
    <w:p>
      <w:pPr>
        <w:pStyle w:val="ListBullet"/>
      </w:pPr>
      <w:r>
        <w:t>Automation is behind the correct configuration control.</w:t>
      </w:r>
    </w:p>
    <w:p>
      <w:pPr>
        <w:pStyle w:val="ListBullet"/>
      </w:pPr>
      <w:r>
        <w:t>Frontend reflects authoritative backend state.</w:t>
      </w:r>
    </w:p>
    <w:p>
      <w:pPr>
        <w:pStyle w:val="ListBullet"/>
      </w:pPr>
      <w:r>
        <w:t>Security/privacy requirements pass.</w:t>
      </w:r>
    </w:p>
    <w:p>
      <w:pPr>
        <w:pStyle w:val="ListBullet"/>
      </w:pPr>
      <w:r>
        <w:t>Responsive/accessibility requirements pass where applicable.</w:t>
      </w:r>
    </w:p>
    <w:p>
      <w:pPr>
        <w:pStyle w:val="ListBullet"/>
      </w:pPr>
      <w:r>
        <w:t>E2E scenario passes.</w:t>
      </w:r>
    </w:p>
    <w:p>
      <w:pPr>
        <w:pStyle w:val="Heading1"/>
      </w:pPr>
      <w:r>
        <w:t>25. Release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Gate</w:t>
            </w:r>
          </w:p>
        </w:tc>
        <w:tc>
          <w:tcPr>
            <w:tcW w:type="dxa" w:w="5256"/>
          </w:tcPr>
          <w:p>
            <w:r>
              <w:t>Required evidence</w:t>
            </w:r>
          </w:p>
        </w:tc>
      </w:tr>
      <w:tr>
        <w:tc>
          <w:tcPr>
            <w:tcW w:type="dxa" w:w="5256"/>
          </w:tcPr>
          <w:p>
            <w:r>
              <w:t>Gate 0</w:t>
            </w:r>
          </w:p>
        </w:tc>
        <w:tc>
          <w:tcPr>
            <w:tcW w:type="dxa" w:w="5256"/>
          </w:tcPr>
          <w:p>
            <w:r>
              <w:t>Repository/architecture audit complete.</w:t>
            </w:r>
          </w:p>
        </w:tc>
      </w:tr>
      <w:tr>
        <w:tc>
          <w:tcPr>
            <w:tcW w:type="dxa" w:w="5256"/>
          </w:tcPr>
          <w:p>
            <w:r>
              <w:t>Gate 1</w:t>
            </w:r>
          </w:p>
        </w:tc>
        <w:tc>
          <w:tcPr>
            <w:tcW w:type="dxa" w:w="5256"/>
          </w:tcPr>
          <w:p>
            <w:r>
              <w:t>P0 foundation tests pass.</w:t>
            </w:r>
          </w:p>
        </w:tc>
      </w:tr>
      <w:tr>
        <w:tc>
          <w:tcPr>
            <w:tcW w:type="dxa" w:w="5256"/>
          </w:tcPr>
          <w:p>
            <w:r>
              <w:t>Gate 2</w:t>
            </w:r>
          </w:p>
        </w:tc>
        <w:tc>
          <w:tcPr>
            <w:tcW w:type="dxa" w:w="5256"/>
          </w:tcPr>
          <w:p>
            <w:r>
              <w:t>Concierge → case E2E passes.</w:t>
            </w:r>
          </w:p>
        </w:tc>
      </w:tr>
      <w:tr>
        <w:tc>
          <w:tcPr>
            <w:tcW w:type="dxa" w:w="5256"/>
          </w:tcPr>
          <w:p>
            <w:r>
              <w:t>Gate 3</w:t>
            </w:r>
          </w:p>
        </w:tc>
        <w:tc>
          <w:tcPr>
            <w:tcW w:type="dxa" w:w="5256"/>
          </w:tcPr>
          <w:p>
            <w:r>
              <w:t>Case → deterministic quote E2E passes.</w:t>
            </w:r>
          </w:p>
        </w:tc>
      </w:tr>
      <w:tr>
        <w:tc>
          <w:tcPr>
            <w:tcW w:type="dxa" w:w="5256"/>
          </w:tcPr>
          <w:p>
            <w:r>
              <w:t>Gate 4</w:t>
            </w:r>
          </w:p>
        </w:tc>
        <w:tc>
          <w:tcPr>
            <w:tcW w:type="dxa" w:w="5256"/>
          </w:tcPr>
          <w:p>
            <w:r>
              <w:t>Quote → payment/reconciliation E2E passes.</w:t>
            </w:r>
          </w:p>
        </w:tc>
      </w:tr>
      <w:tr>
        <w:tc>
          <w:tcPr>
            <w:tcW w:type="dxa" w:w="5256"/>
          </w:tcPr>
          <w:p>
            <w:r>
              <w:t>Gate 5</w:t>
            </w:r>
          </w:p>
        </w:tc>
        <w:tc>
          <w:tcPr>
            <w:tcW w:type="dxa" w:w="5256"/>
          </w:tcPr>
          <w:p>
            <w:r>
              <w:t>Escalation → operations → resume E2E passes.</w:t>
            </w:r>
          </w:p>
        </w:tc>
      </w:tr>
      <w:tr>
        <w:tc>
          <w:tcPr>
            <w:tcW w:type="dxa" w:w="5256"/>
          </w:tcPr>
          <w:p>
            <w:r>
              <w:t>Gate 6</w:t>
            </w:r>
          </w:p>
        </w:tc>
        <w:tc>
          <w:tcPr>
            <w:tcW w:type="dxa" w:w="5256"/>
          </w:tcPr>
          <w:p>
            <w:r>
              <w:t>Security/access-control review passes.</w:t>
            </w:r>
          </w:p>
        </w:tc>
      </w:tr>
      <w:tr>
        <w:tc>
          <w:tcPr>
            <w:tcW w:type="dxa" w:w="5256"/>
          </w:tcPr>
          <w:p>
            <w:r>
              <w:t>Gate 7</w:t>
            </w:r>
          </w:p>
        </w:tc>
        <w:tc>
          <w:tcPr>
            <w:tcW w:type="dxa" w:w="5256"/>
          </w:tcPr>
          <w:p>
            <w:r>
              <w:t>Production pilot with limited automation.</w:t>
            </w:r>
          </w:p>
        </w:tc>
      </w:tr>
      <w:tr>
        <w:tc>
          <w:tcPr>
            <w:tcW w:type="dxa" w:w="5256"/>
          </w:tcPr>
          <w:p>
            <w:r>
              <w:t>Gate 8</w:t>
            </w:r>
          </w:p>
        </w:tc>
        <w:tc>
          <w:tcPr>
            <w:tcW w:type="dxa" w:w="5256"/>
          </w:tcPr>
          <w:p>
            <w:r>
              <w:t>Measured expansion to additional workflows.</w:t>
            </w:r>
          </w:p>
        </w:tc>
      </w:tr>
    </w:tbl>
    <w:p>
      <w:pPr>
        <w:pStyle w:val="Heading1"/>
      </w:pPr>
      <w:r>
        <w:t>26. Production pilot</w:t>
      </w:r>
    </w:p>
    <w:p>
      <w:pPr>
        <w:pStyle w:val="ListBullet"/>
      </w:pPr>
      <w:r>
        <w:t>Activate only selected deterministic workflows.</w:t>
      </w:r>
    </w:p>
    <w:p>
      <w:pPr>
        <w:pStyle w:val="ListBullet"/>
      </w:pPr>
      <w:r>
        <w:t>Use service/workflow feature flags.</w:t>
      </w:r>
    </w:p>
    <w:p>
      <w:pPr>
        <w:pStyle w:val="ListBullet"/>
      </w:pPr>
      <w:r>
        <w:t>Monitor quote accuracy and payment safety.</w:t>
      </w:r>
    </w:p>
    <w:p>
      <w:pPr>
        <w:pStyle w:val="ListBullet"/>
      </w:pPr>
      <w:r>
        <w:t>Monitor escalation precision/recall.</w:t>
      </w:r>
    </w:p>
    <w:p>
      <w:pPr>
        <w:pStyle w:val="ListBullet"/>
      </w:pPr>
      <w:r>
        <w:t>Review failed automation cases.</w:t>
      </w:r>
    </w:p>
    <w:p>
      <w:pPr>
        <w:pStyle w:val="ListBullet"/>
      </w:pPr>
      <w:r>
        <w:t>Keep global/service/workflow kill switches available.</w:t>
      </w:r>
    </w:p>
    <w:p>
      <w:pPr>
        <w:pStyle w:val="ListBullet"/>
      </w:pPr>
      <w:r>
        <w:t>Expand only after agreed acceptance metrics are met.</w:t>
      </w:r>
    </w:p>
    <w:p>
      <w:pPr>
        <w:pStyle w:val="Heading1"/>
      </w:pPr>
      <w:r>
        <w:t>27. Non-negotiable engineering rules</w:t>
      </w:r>
    </w:p>
    <w:p>
      <w:pPr>
        <w:pStyle w:val="ListBullet"/>
      </w:pPr>
      <w:r>
        <w:t>AI cannot directly write database records.</w:t>
      </w:r>
    </w:p>
    <w:p>
      <w:pPr>
        <w:pStyle w:val="ListBullet"/>
      </w:pPr>
      <w:r>
        <w:t>AI cannot invent prices.</w:t>
      </w:r>
    </w:p>
    <w:p>
      <w:pPr>
        <w:pStyle w:val="ListBullet"/>
      </w:pPr>
      <w:r>
        <w:t>AI cannot override pricing configuration.</w:t>
      </w:r>
    </w:p>
    <w:p>
      <w:pPr>
        <w:pStyle w:val="ListBullet"/>
      </w:pPr>
      <w:r>
        <w:t>AI cannot bypass authentication for formal transactions.</w:t>
      </w:r>
    </w:p>
    <w:p>
      <w:pPr>
        <w:pStyle w:val="ListBullet"/>
      </w:pPr>
      <w:r>
        <w:t>AI cannot mark payments successful.</w:t>
      </w:r>
    </w:p>
    <w:p>
      <w:pPr>
        <w:pStyle w:val="ListBullet"/>
      </w:pPr>
      <w:r>
        <w:t>AI cannot bypass configured escalation.</w:t>
      </w:r>
    </w:p>
    <w:p>
      <w:pPr>
        <w:pStyle w:val="ListBullet"/>
      </w:pPr>
      <w:r>
        <w:t>Backend revalidates every consequential AI action.</w:t>
      </w:r>
    </w:p>
    <w:p>
      <w:pPr>
        <w:pStyle w:val="ListBullet"/>
      </w:pPr>
      <w:r>
        <w:t>Customer-visible state comes from authoritative backend state.</w:t>
      </w:r>
    </w:p>
    <w:p>
      <w:pPr>
        <w:pStyle w:val="ListBullet"/>
      </w:pPr>
      <w:r>
        <w:t>Historical financial/quote records remain reproducible.</w:t>
      </w:r>
    </w:p>
    <w:p>
      <w:pPr>
        <w:pStyle w:val="ListBullet"/>
      </w:pPr>
      <w:r>
        <w:t>Manual overrides are permissioned and audited.</w:t>
      </w:r>
    </w:p>
    <w:p>
      <w:pPr>
        <w:pStyle w:val="Heading1"/>
      </w:pPr>
      <w:r>
        <w:t>28. Final implementation sequence</w:t>
      </w:r>
    </w:p>
    <w:p>
      <w:r>
        <w:t>1. Audit the existing ASOJU repository and infrastructure.</w:t>
      </w:r>
    </w:p>
    <w:p>
      <w:r>
        <w:t>2. Lock the actual contracts and identify reusable code.</w:t>
      </w:r>
    </w:p>
    <w:p>
      <w:r>
        <w:t>3. Build/align data and authorization foundations.</w:t>
      </w:r>
    </w:p>
    <w:p>
      <w:r>
        <w:t>4. Build AI structured request and automation eligibility.</w:t>
      </w:r>
    </w:p>
    <w:p>
      <w:r>
        <w:t>5. Build case and scope automation.</w:t>
      </w:r>
    </w:p>
    <w:p>
      <w:r>
        <w:t>6. Build deterministic pricing and quote.</w:t>
      </w:r>
    </w:p>
    <w:p>
      <w:r>
        <w:t>7. Build payment and reconciliation.</w:t>
      </w:r>
    </w:p>
    <w:p>
      <w:r>
        <w:t>8. Build escalation and operations control.</w:t>
      </w:r>
    </w:p>
    <w:p>
      <w:r>
        <w:t>9. Connect customer portal end-to-end.</w:t>
      </w:r>
    </w:p>
    <w:p>
      <w:r>
        <w:t>10. Run P0 E2E/security/UAT.</w:t>
      </w:r>
    </w:p>
    <w:p>
      <w:r>
        <w:t>11. Pilot selected workflows.</w:t>
      </w:r>
    </w:p>
    <w:p>
      <w:r>
        <w:t>12. Expand automation by service/workflow.</w:t>
      </w:r>
    </w:p>
    <w:p>
      <w:r>
        <w:t>13. Add advanced A5 automation after A4 stability.</w:t>
      </w:r>
    </w:p>
    <w:p>
      <w:pPr>
        <w:pStyle w:val="Heading1"/>
      </w:pPr>
      <w:r>
        <w:t>29. Source basis and scope</w:t>
      </w:r>
    </w:p>
    <w:p>
      <w:r>
        <w:t>This implementation plan is derived from the ASOJU Master Product &amp; Engineering Blueprint v2.0 supplied in the project. It preserves the blueprint's terminology, six-service architecture, automation maturity model, authority boundaries, pricing architecture, escalation model, portal, operations control plane, testing strategy and release principles.</w:t>
      </w:r>
    </w:p>
    <w:p>
      <w:r>
        <w:t>Detailed service-specific prices, provider contracts, existing repository structure, exact API names and exact database implementation are not specified by the master blueprint; those items must be established during the repository/infrastructure audit rather than invented in implementation.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