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ASOJU BUILD — SERVICE PAGE BLUEPRINT</w:t>
      </w:r>
    </w:p>
    <w:p>
      <w:pPr>
        <w:jc w:val="center"/>
      </w:pPr>
      <w:r>
        <w:rPr>
          <w:i/>
        </w:rPr>
        <w:t>Customer-facing UI/UX + front-end engineering handoff</w:t>
        <w:br/>
        <w:t>Version 1.0 • 15 August 2026</w:t>
      </w:r>
    </w:p>
    <w:p>
      <w:pPr>
        <w:pStyle w:val="Heading1"/>
      </w:pPr>
      <w:r>
        <w:t>1. Purpose</w:t>
      </w:r>
    </w:p>
    <w:p>
      <w:r>
        <w:t>ASOJU Build is the customer-facing service family for customers who need trusted oversight of construction and physical projects in Nigeria while they are abroad or otherwise unable to be present. The page should make the value proposition clear: ASOJU helps customers keep projects moving, see what is happening on site, and maintain accountable visibility.</w:t>
      </w:r>
    </w:p>
    <w:p>
      <w:pPr>
        <w:pStyle w:val="Heading1"/>
      </w:pPr>
      <w:r>
        <w:t>2. Locked service identity</w:t>
      </w:r>
    </w:p>
    <w:tbl>
      <w:tblPr>
        <w:tblStyle w:val="TableGrid"/>
        <w:tblW w:type="auto" w:w="0"/>
        <w:tblLook w:firstColumn="1" w:firstRow="1" w:lastColumn="0" w:lastRow="0" w:noHBand="0" w:noVBand="1" w:val="04A0"/>
      </w:tblPr>
      <w:tblGrid>
        <w:gridCol w:w="5112"/>
        <w:gridCol w:w="5112"/>
      </w:tblGrid>
      <w:tr>
        <w:tc>
          <w:tcPr>
            <w:tcW w:type="dxa" w:w="5112"/>
          </w:tcPr>
          <w:p>
            <w:r>
              <w:t>Element</w:t>
            </w:r>
          </w:p>
        </w:tc>
        <w:tc>
          <w:tcPr>
            <w:tcW w:type="dxa" w:w="5112"/>
          </w:tcPr>
          <w:p>
            <w:r>
              <w:t>Locked specification</w:t>
            </w:r>
          </w:p>
        </w:tc>
      </w:tr>
      <w:tr>
        <w:tc>
          <w:tcPr>
            <w:tcW w:type="dxa" w:w="5112"/>
          </w:tcPr>
          <w:p>
            <w:r>
              <w:t>Service name</w:t>
            </w:r>
          </w:p>
        </w:tc>
        <w:tc>
          <w:tcPr>
            <w:tcW w:type="dxa" w:w="5112"/>
          </w:tcPr>
          <w:p>
            <w:r>
              <w:t>ASOJU Build</w:t>
            </w:r>
          </w:p>
        </w:tc>
      </w:tr>
      <w:tr>
        <w:tc>
          <w:tcPr>
            <w:tcW w:type="dxa" w:w="5112"/>
          </w:tcPr>
          <w:p>
            <w:r>
              <w:t>Homepage promise</w:t>
            </w:r>
          </w:p>
        </w:tc>
        <w:tc>
          <w:tcPr>
            <w:tcW w:type="dxa" w:w="5112"/>
          </w:tcPr>
          <w:p>
            <w:r>
              <w:t>Keep your project moving, even from abroad.</w:t>
            </w:r>
          </w:p>
        </w:tc>
      </w:tr>
      <w:tr>
        <w:tc>
          <w:tcPr>
            <w:tcW w:type="dxa" w:w="5112"/>
          </w:tcPr>
          <w:p>
            <w:r>
              <w:t>Primary CTA</w:t>
            </w:r>
          </w:p>
        </w:tc>
        <w:tc>
          <w:tcPr>
            <w:tcW w:type="dxa" w:w="5112"/>
          </w:tcPr>
          <w:p>
            <w:r>
              <w:t>Start with ASOJU →</w:t>
            </w:r>
          </w:p>
        </w:tc>
      </w:tr>
      <w:tr>
        <w:tc>
          <w:tcPr>
            <w:tcW w:type="dxa" w:w="5112"/>
          </w:tcPr>
          <w:p>
            <w:r>
              <w:t>Secondary CTA</w:t>
            </w:r>
          </w:p>
        </w:tc>
        <w:tc>
          <w:tcPr>
            <w:tcW w:type="dxa" w:w="5112"/>
          </w:tcPr>
          <w:p>
            <w:r>
              <w:t>Tell us what you need →</w:t>
            </w:r>
          </w:p>
        </w:tc>
      </w:tr>
      <w:tr>
        <w:tc>
          <w:tcPr>
            <w:tcW w:type="dxa" w:w="5112"/>
          </w:tcPr>
          <w:p>
            <w:r>
              <w:t>Primary conversion</w:t>
            </w:r>
          </w:p>
        </w:tc>
        <w:tc>
          <w:tcPr>
            <w:tcW w:type="dxa" w:w="5112"/>
          </w:tcPr>
          <w:p>
            <w:r>
              <w:t>AI Concierge</w:t>
            </w:r>
          </w:p>
        </w:tc>
      </w:tr>
      <w:tr>
        <w:tc>
          <w:tcPr>
            <w:tcW w:type="dxa" w:w="5112"/>
          </w:tcPr>
          <w:p>
            <w:r>
              <w:t>Anonymous use</w:t>
            </w:r>
          </w:p>
        </w:tc>
        <w:tc>
          <w:tcPr>
            <w:tcW w:type="dxa" w:w="5112"/>
          </w:tcPr>
          <w:p>
            <w:r>
              <w:t>Yes — first-instance Concierge conversation.</w:t>
            </w:r>
          </w:p>
        </w:tc>
      </w:tr>
      <w:tr>
        <w:tc>
          <w:tcPr>
            <w:tcW w:type="dxa" w:w="5112"/>
          </w:tcPr>
          <w:p>
            <w:r>
              <w:t>Authentication gate</w:t>
            </w:r>
          </w:p>
        </w:tc>
        <w:tc>
          <w:tcPr>
            <w:tcW w:type="dxa" w:w="5112"/>
          </w:tcPr>
          <w:p>
            <w:r>
              <w:t>Required before formal case creation and quote/payment progression.</w:t>
            </w:r>
          </w:p>
        </w:tc>
      </w:tr>
    </w:tbl>
    <w:p>
      <w:pPr>
        <w:pStyle w:val="Heading1"/>
      </w:pPr>
      <w:r>
        <w:t>3. Core service scope</w:t>
      </w:r>
    </w:p>
    <w:p>
      <w:r>
        <w:t>The current ASOJU build documentation explicitly identifies Construction Supervision as a core service and describes service-specific checklists, field execution, evidence capture, QC, rework/revisit and case/report workflows. The customer-facing Build page should translate that operational capability into a clear project-supervision proposition.</w:t>
      </w:r>
    </w:p>
    <w:tbl>
      <w:tblPr>
        <w:tblStyle w:val="TableGrid"/>
        <w:tblW w:type="auto" w:w="0"/>
        <w:tblLook w:firstColumn="1" w:firstRow="1" w:lastColumn="0" w:lastRow="0" w:noHBand="0" w:noVBand="1" w:val="04A0"/>
      </w:tblPr>
      <w:tblGrid>
        <w:gridCol w:w="5112"/>
        <w:gridCol w:w="5112"/>
      </w:tblGrid>
      <w:tr>
        <w:tc>
          <w:tcPr>
            <w:tcW w:type="dxa" w:w="5112"/>
          </w:tcPr>
          <w:p>
            <w:r>
              <w:t>Build capability</w:t>
            </w:r>
          </w:p>
        </w:tc>
        <w:tc>
          <w:tcPr>
            <w:tcW w:type="dxa" w:w="5112"/>
          </w:tcPr>
          <w:p>
            <w:r>
              <w:t>Customer-facing meaning</w:t>
            </w:r>
          </w:p>
        </w:tc>
      </w:tr>
      <w:tr>
        <w:tc>
          <w:tcPr>
            <w:tcW w:type="dxa" w:w="5112"/>
          </w:tcPr>
          <w:p>
            <w:r>
              <w:t>Construction supervision</w:t>
            </w:r>
          </w:p>
        </w:tc>
        <w:tc>
          <w:tcPr>
            <w:tcW w:type="dxa" w:w="5112"/>
          </w:tcPr>
          <w:p>
            <w:r>
              <w:t>Monitor agreed construction/project activities against the confirmed scope.</w:t>
            </w:r>
          </w:p>
        </w:tc>
      </w:tr>
      <w:tr>
        <w:tc>
          <w:tcPr>
            <w:tcW w:type="dxa" w:w="5112"/>
          </w:tcPr>
          <w:p>
            <w:r>
              <w:t>Site progress checks</w:t>
            </w:r>
          </w:p>
        </w:tc>
        <w:tc>
          <w:tcPr>
            <w:tcW w:type="dxa" w:w="5112"/>
          </w:tcPr>
          <w:p>
            <w:r>
              <w:t>Capture evidence and observations about agreed progress.</w:t>
            </w:r>
          </w:p>
        </w:tc>
      </w:tr>
      <w:tr>
        <w:tc>
          <w:tcPr>
            <w:tcW w:type="dxa" w:w="5112"/>
          </w:tcPr>
          <w:p>
            <w:r>
              <w:t>Contractor/project oversight</w:t>
            </w:r>
          </w:p>
        </w:tc>
        <w:tc>
          <w:tcPr>
            <w:tcW w:type="dxa" w:w="5112"/>
          </w:tcPr>
          <w:p>
            <w:r>
              <w:t>Provide accountable on-the-ground supervision within the agreed scope.</w:t>
            </w:r>
          </w:p>
        </w:tc>
      </w:tr>
      <w:tr>
        <w:tc>
          <w:tcPr>
            <w:tcW w:type="dxa" w:w="5112"/>
          </w:tcPr>
          <w:p>
            <w:r>
              <w:t>Issue escalation</w:t>
            </w:r>
          </w:p>
        </w:tc>
        <w:tc>
          <w:tcPr>
            <w:tcW w:type="dxa" w:w="5112"/>
          </w:tcPr>
          <w:p>
            <w:r>
              <w:t>Surface material exceptions/incidents through the controlled case workflow.</w:t>
            </w:r>
          </w:p>
        </w:tc>
      </w:tr>
      <w:tr>
        <w:tc>
          <w:tcPr>
            <w:tcW w:type="dxa" w:w="5112"/>
          </w:tcPr>
          <w:p>
            <w:r>
              <w:t>Recurring project monitoring</w:t>
            </w:r>
          </w:p>
        </w:tc>
        <w:tc>
          <w:tcPr>
            <w:tcW w:type="dxa" w:w="5112"/>
          </w:tcPr>
          <w:p>
            <w:r>
              <w:t>Where configured, support scheduled/repeat site visits and checks.</w:t>
            </w:r>
          </w:p>
        </w:tc>
      </w:tr>
    </w:tbl>
    <w:p>
      <w:r>
        <w:t>ASOJU Build should not imply that ASOJU replaces the customer's architect, engineer, quantity surveyor, lawyer or other regulated professional unless that specific capability and qualified provider are explicitly configured.</w:t>
      </w:r>
    </w:p>
    <w:p>
      <w:pPr>
        <w:pStyle w:val="Heading1"/>
      </w:pPr>
      <w:r>
        <w:t>4. Page objective</w:t>
      </w:r>
    </w:p>
    <w:p>
      <w:pPr>
        <w:pStyle w:val="ListBullet"/>
      </w:pPr>
      <w:r>
        <w:t>Make construction/project supervision immediately understandable to a diaspora customer.</w:t>
      </w:r>
    </w:p>
    <w:p>
      <w:pPr>
        <w:pStyle w:val="ListBullet"/>
      </w:pPr>
      <w:r>
        <w:t>Position ASOJU as the customer's accountable eyes and presence on the ground.</w:t>
      </w:r>
    </w:p>
    <w:p>
      <w:pPr>
        <w:pStyle w:val="ListBullet"/>
      </w:pPr>
      <w:r>
        <w:t>Show evidence-backed visibility rather than informal progress updates.</w:t>
      </w:r>
    </w:p>
    <w:p>
      <w:pPr>
        <w:pStyle w:val="ListBullet"/>
      </w:pPr>
      <w:r>
        <w:t>Explain how scope, assignments, field checklists, QC and reports connect.</w:t>
      </w:r>
    </w:p>
    <w:p>
      <w:pPr>
        <w:pStyle w:val="ListBullet"/>
      </w:pPr>
      <w:r>
        <w:t>Allow anonymous Concierge exploration before authentication.</w:t>
      </w:r>
    </w:p>
    <w:p>
      <w:pPr>
        <w:pStyle w:val="ListBullet"/>
      </w:pPr>
      <w:r>
        <w:t>Convert a clarified project need into an authenticated case and quote.</w:t>
      </w:r>
    </w:p>
    <w:p>
      <w:pPr>
        <w:pStyle w:val="Heading1"/>
      </w:pPr>
      <w:r>
        <w:t>5. Recommended page structure</w:t>
      </w:r>
    </w:p>
    <w:tbl>
      <w:tblPr>
        <w:tblStyle w:val="TableGrid"/>
        <w:tblW w:type="auto" w:w="0"/>
        <w:tblLook w:firstColumn="1" w:firstRow="1" w:lastColumn="0" w:lastRow="0" w:noHBand="0" w:noVBand="1" w:val="04A0"/>
      </w:tblPr>
      <w:tblGrid>
        <w:gridCol w:w="3408"/>
        <w:gridCol w:w="3408"/>
        <w:gridCol w:w="3408"/>
      </w:tblGrid>
      <w:tr>
        <w:tc>
          <w:tcPr>
            <w:tcW w:type="dxa" w:w="3408"/>
          </w:tcPr>
          <w:p>
            <w:r>
              <w:t>Order</w:t>
            </w:r>
          </w:p>
        </w:tc>
        <w:tc>
          <w:tcPr>
            <w:tcW w:type="dxa" w:w="3408"/>
          </w:tcPr>
          <w:p>
            <w:r>
              <w:t>Section</w:t>
            </w:r>
          </w:p>
        </w:tc>
        <w:tc>
          <w:tcPr>
            <w:tcW w:type="dxa" w:w="3408"/>
          </w:tcPr>
          <w:p>
            <w:r>
              <w:t>Purpose</w:t>
            </w:r>
          </w:p>
        </w:tc>
      </w:tr>
      <w:tr>
        <w:tc>
          <w:tcPr>
            <w:tcW w:type="dxa" w:w="3408"/>
          </w:tcPr>
          <w:p>
            <w:r>
              <w:t>1</w:t>
            </w:r>
          </w:p>
        </w:tc>
        <w:tc>
          <w:tcPr>
            <w:tcW w:type="dxa" w:w="3408"/>
          </w:tcPr>
          <w:p>
            <w:r>
              <w:t>Header</w:t>
            </w:r>
          </w:p>
        </w:tc>
        <w:tc>
          <w:tcPr>
            <w:tcW w:type="dxa" w:w="3408"/>
          </w:tcPr>
          <w:p>
            <w:r>
              <w:t>Global ASOJU navigation.</w:t>
            </w:r>
          </w:p>
        </w:tc>
      </w:tr>
      <w:tr>
        <w:tc>
          <w:tcPr>
            <w:tcW w:type="dxa" w:w="3408"/>
          </w:tcPr>
          <w:p>
            <w:r>
              <w:t>2</w:t>
            </w:r>
          </w:p>
        </w:tc>
        <w:tc>
          <w:tcPr>
            <w:tcW w:type="dxa" w:w="3408"/>
          </w:tcPr>
          <w:p>
            <w:r>
              <w:t>Hero + Concierge</w:t>
            </w:r>
          </w:p>
        </w:tc>
        <w:tc>
          <w:tcPr>
            <w:tcW w:type="dxa" w:w="3408"/>
          </w:tcPr>
          <w:p>
            <w:r>
              <w:t>Immediate project problem recognition and request creation.</w:t>
            </w:r>
          </w:p>
        </w:tc>
      </w:tr>
      <w:tr>
        <w:tc>
          <w:tcPr>
            <w:tcW w:type="dxa" w:w="3408"/>
          </w:tcPr>
          <w:p>
            <w:r>
              <w:t>3</w:t>
            </w:r>
          </w:p>
        </w:tc>
        <w:tc>
          <w:tcPr>
            <w:tcW w:type="dxa" w:w="3408"/>
          </w:tcPr>
          <w:p>
            <w:r>
              <w:t>What we can help monitor</w:t>
            </w:r>
          </w:p>
        </w:tc>
        <w:tc>
          <w:tcPr>
            <w:tcW w:type="dxa" w:w="3408"/>
          </w:tcPr>
          <w:p>
            <w:r>
              <w:t>Construction/project supervision use cases.</w:t>
            </w:r>
          </w:p>
        </w:tc>
      </w:tr>
      <w:tr>
        <w:tc>
          <w:tcPr>
            <w:tcW w:type="dxa" w:w="3408"/>
          </w:tcPr>
          <w:p>
            <w:r>
              <w:t>4</w:t>
            </w:r>
          </w:p>
        </w:tc>
        <w:tc>
          <w:tcPr>
            <w:tcW w:type="dxa" w:w="3408"/>
          </w:tcPr>
          <w:p>
            <w:r>
              <w:t>What gets checked</w:t>
            </w:r>
          </w:p>
        </w:tc>
        <w:tc>
          <w:tcPr>
            <w:tcW w:type="dxa" w:w="3408"/>
          </w:tcPr>
          <w:p>
            <w:r>
              <w:t>Scope, progress, evidence and agreed checklist.</w:t>
            </w:r>
          </w:p>
        </w:tc>
      </w:tr>
      <w:tr>
        <w:tc>
          <w:tcPr>
            <w:tcW w:type="dxa" w:w="3408"/>
          </w:tcPr>
          <w:p>
            <w:r>
              <w:t>5</w:t>
            </w:r>
          </w:p>
        </w:tc>
        <w:tc>
          <w:tcPr>
            <w:tcW w:type="dxa" w:w="3408"/>
          </w:tcPr>
          <w:p>
            <w:r>
              <w:t>How it works</w:t>
            </w:r>
          </w:p>
        </w:tc>
        <w:tc>
          <w:tcPr>
            <w:tcW w:type="dxa" w:w="3408"/>
          </w:tcPr>
          <w:p>
            <w:r>
              <w:t>Controlled project-supervision workflow.</w:t>
            </w:r>
          </w:p>
        </w:tc>
      </w:tr>
      <w:tr>
        <w:tc>
          <w:tcPr>
            <w:tcW w:type="dxa" w:w="3408"/>
          </w:tcPr>
          <w:p>
            <w:r>
              <w:t>6</w:t>
            </w:r>
          </w:p>
        </w:tc>
        <w:tc>
          <w:tcPr>
            <w:tcW w:type="dxa" w:w="3408"/>
          </w:tcPr>
          <w:p>
            <w:r>
              <w:t>Why ASOJU</w:t>
            </w:r>
          </w:p>
        </w:tc>
        <w:tc>
          <w:tcPr>
            <w:tcW w:type="dxa" w:w="3408"/>
          </w:tcPr>
          <w:p>
            <w:r>
              <w:t>Trust, visibility, accountability and QC.</w:t>
            </w:r>
          </w:p>
        </w:tc>
      </w:tr>
      <w:tr>
        <w:tc>
          <w:tcPr>
            <w:tcW w:type="dxa" w:w="3408"/>
          </w:tcPr>
          <w:p>
            <w:r>
              <w:t>7</w:t>
            </w:r>
          </w:p>
        </w:tc>
        <w:tc>
          <w:tcPr>
            <w:tcW w:type="dxa" w:w="3408"/>
          </w:tcPr>
          <w:p>
            <w:r>
              <w:t>What you receive</w:t>
            </w:r>
          </w:p>
        </w:tc>
        <w:tc>
          <w:tcPr>
            <w:tcW w:type="dxa" w:w="3408"/>
          </w:tcPr>
          <w:p>
            <w:r>
              <w:t>Updates, evidence, findings and reports where applicable.</w:t>
            </w:r>
          </w:p>
        </w:tc>
      </w:tr>
      <w:tr>
        <w:tc>
          <w:tcPr>
            <w:tcW w:type="dxa" w:w="3408"/>
          </w:tcPr>
          <w:p>
            <w:r>
              <w:t>8</w:t>
            </w:r>
          </w:p>
        </w:tc>
        <w:tc>
          <w:tcPr>
            <w:tcW w:type="dxa" w:w="3408"/>
          </w:tcPr>
          <w:p>
            <w:r>
              <w:t>Inspect vs Build</w:t>
            </w:r>
          </w:p>
        </w:tc>
        <w:tc>
          <w:tcPr>
            <w:tcW w:type="dxa" w:w="3408"/>
          </w:tcPr>
          <w:p>
            <w:r>
              <w:t>Clarify difference from ASOJU Inspect.</w:t>
            </w:r>
          </w:p>
        </w:tc>
      </w:tr>
      <w:tr>
        <w:tc>
          <w:tcPr>
            <w:tcW w:type="dxa" w:w="3408"/>
          </w:tcPr>
          <w:p>
            <w:r>
              <w:t>9</w:t>
            </w:r>
          </w:p>
        </w:tc>
        <w:tc>
          <w:tcPr>
            <w:tcW w:type="dxa" w:w="3408"/>
          </w:tcPr>
          <w:p>
            <w:r>
              <w:t>FAQ</w:t>
            </w:r>
          </w:p>
        </w:tc>
        <w:tc>
          <w:tcPr>
            <w:tcW w:type="dxa" w:w="3408"/>
          </w:tcPr>
          <w:p>
            <w:r>
              <w:t>Approved practical questions.</w:t>
            </w:r>
          </w:p>
        </w:tc>
      </w:tr>
      <w:tr>
        <w:tc>
          <w:tcPr>
            <w:tcW w:type="dxa" w:w="3408"/>
          </w:tcPr>
          <w:p>
            <w:r>
              <w:t>10</w:t>
            </w:r>
          </w:p>
        </w:tc>
        <w:tc>
          <w:tcPr>
            <w:tcW w:type="dxa" w:w="3408"/>
          </w:tcPr>
          <w:p>
            <w:r>
              <w:t>Final Concierge CTA</w:t>
            </w:r>
          </w:p>
        </w:tc>
        <w:tc>
          <w:tcPr>
            <w:tcW w:type="dxa" w:w="3408"/>
          </w:tcPr>
          <w:p>
            <w:r>
              <w:t>Conversion.</w:t>
            </w:r>
          </w:p>
        </w:tc>
      </w:tr>
      <w:tr>
        <w:tc>
          <w:tcPr>
            <w:tcW w:type="dxa" w:w="3408"/>
          </w:tcPr>
          <w:p>
            <w:r>
              <w:t>11</w:t>
            </w:r>
          </w:p>
        </w:tc>
        <w:tc>
          <w:tcPr>
            <w:tcW w:type="dxa" w:w="3408"/>
          </w:tcPr>
          <w:p>
            <w:r>
              <w:t>Footer</w:t>
            </w:r>
          </w:p>
        </w:tc>
        <w:tc>
          <w:tcPr>
            <w:tcW w:type="dxa" w:w="3408"/>
          </w:tcPr>
          <w:p>
            <w:r>
              <w:t>Global navigation.</w:t>
            </w:r>
          </w:p>
        </w:tc>
      </w:tr>
    </w:tbl>
    <w:p>
      <w:pPr>
        <w:pStyle w:val="Heading1"/>
      </w:pPr>
      <w:r>
        <w:t>6. Hero</w:t>
      </w:r>
    </w:p>
    <w:p>
      <w:r>
        <w:t>Eyebrow: ASOJU BUILD</w:t>
      </w:r>
    </w:p>
    <w:p>
      <w:r>
        <w:t>Headline: “Keep your project moving, even from abroad.”</w:t>
      </w:r>
    </w:p>
    <w:p>
      <w:r>
        <w:t>Supporting message: “ASOJU provides trusted on-the-ground supervision for agreed construction and project activities, with clear scope, evidence and accountable updates.”</w:t>
      </w:r>
    </w:p>
    <w:p>
      <w:r>
        <w:t>Primary CTA: Start with ASOJU →</w:t>
      </w:r>
    </w:p>
    <w:p>
      <w:r>
        <w:t>Secondary CTA: Tell us what you need →</w:t>
      </w:r>
    </w:p>
    <w:p>
      <w:pPr>
        <w:pStyle w:val="Heading1"/>
      </w:pPr>
      <w:r>
        <w:t>7. Hero Concierge</w:t>
      </w:r>
    </w:p>
    <w:p>
      <w:r>
        <w:t>Heading: “Tell ASOJU about your project”</w:t>
      </w:r>
    </w:p>
    <w:p>
      <w:r>
        <w:t>Prompt: “Where is the project, what are you building, and what do you need us to monitor or handle?”</w:t>
      </w:r>
    </w:p>
    <w:p>
      <w:r>
        <w:t>Example prompts:</w:t>
      </w:r>
    </w:p>
    <w:p>
      <w:pPr>
        <w:pStyle w:val="ListBullet"/>
      </w:pPr>
      <w:r>
        <w:t>“I’m building a house in Lagos and need someone to monitor progress while I’m abroad.”</w:t>
      </w:r>
    </w:p>
    <w:p>
      <w:pPr>
        <w:pStyle w:val="ListBullet"/>
      </w:pPr>
      <w:r>
        <w:t>“I need regular site visits and evidence of what has been completed.”</w:t>
      </w:r>
    </w:p>
    <w:p>
      <w:pPr>
        <w:pStyle w:val="ListBullet"/>
      </w:pPr>
      <w:r>
        <w:t>“Please check whether the work on my building is progressing as expected.”</w:t>
      </w:r>
    </w:p>
    <w:p>
      <w:pPr>
        <w:pStyle w:val="ListBullet"/>
      </w:pPr>
      <w:r>
        <w:t>“I need someone on the ground to supervise agreed project tasks and report back.”</w:t>
      </w:r>
    </w:p>
    <w:p>
      <w:pPr>
        <w:pStyle w:val="Heading1"/>
      </w:pPr>
      <w:r>
        <w:t>8. Concierge state flow</w:t>
      </w:r>
    </w:p>
    <w:tbl>
      <w:tblPr>
        <w:tblStyle w:val="TableGrid"/>
        <w:tblW w:type="auto" w:w="0"/>
        <w:tblLook w:firstColumn="1" w:firstRow="1" w:lastColumn="0" w:lastRow="0" w:noHBand="0" w:noVBand="1" w:val="04A0"/>
      </w:tblPr>
      <w:tblGrid>
        <w:gridCol w:w="5112"/>
        <w:gridCol w:w="5112"/>
      </w:tblGrid>
      <w:tr>
        <w:tc>
          <w:tcPr>
            <w:tcW w:type="dxa" w:w="5112"/>
          </w:tcPr>
          <w:p>
            <w:r>
              <w:t>State</w:t>
            </w:r>
          </w:p>
        </w:tc>
        <w:tc>
          <w:tcPr>
            <w:tcW w:type="dxa" w:w="5112"/>
          </w:tcPr>
          <w:p>
            <w:r>
              <w:t>UI behavior</w:t>
            </w:r>
          </w:p>
        </w:tc>
      </w:tr>
      <w:tr>
        <w:tc>
          <w:tcPr>
            <w:tcW w:type="dxa" w:w="5112"/>
          </w:tcPr>
          <w:p>
            <w:r>
              <w:t>Anonymous idle</w:t>
            </w:r>
          </w:p>
        </w:tc>
        <w:tc>
          <w:tcPr>
            <w:tcW w:type="dxa" w:w="5112"/>
          </w:tcPr>
          <w:p>
            <w:r>
              <w:t>Input + examples; no sign-in.</w:t>
            </w:r>
          </w:p>
        </w:tc>
      </w:tr>
      <w:tr>
        <w:tc>
          <w:tcPr>
            <w:tcW w:type="dxa" w:w="5112"/>
          </w:tcPr>
          <w:p>
            <w:r>
              <w:t>Conversation</w:t>
            </w:r>
          </w:p>
        </w:tc>
        <w:tc>
          <w:tcPr>
            <w:tcW w:type="dxa" w:w="5112"/>
          </w:tcPr>
          <w:p>
            <w:r>
              <w:t>Clarify project location, type, objective, visit frequency, activities to monitor and desired evidence.</w:t>
            </w:r>
          </w:p>
        </w:tc>
      </w:tr>
      <w:tr>
        <w:tc>
          <w:tcPr>
            <w:tcW w:type="dxa" w:w="5112"/>
          </w:tcPr>
          <w:p>
            <w:r>
              <w:t>Structured request</w:t>
            </w:r>
          </w:p>
        </w:tc>
        <w:tc>
          <w:tcPr>
            <w:tcW w:type="dxa" w:w="5112"/>
          </w:tcPr>
          <w:p>
            <w:r>
              <w:t>Show ASOJU Build, project summary, requested monitoring and missing information.</w:t>
            </w:r>
          </w:p>
        </w:tc>
      </w:tr>
      <w:tr>
        <w:tc>
          <w:tcPr>
            <w:tcW w:type="dxa" w:w="5112"/>
          </w:tcPr>
          <w:p>
            <w:r>
              <w:t>Authentication gate</w:t>
            </w:r>
          </w:p>
        </w:tc>
        <w:tc>
          <w:tcPr>
            <w:tcW w:type="dxa" w:w="5112"/>
          </w:tcPr>
          <w:p>
            <w:r>
              <w:t>Require sign-in/create-account before formal case creation.</w:t>
            </w:r>
          </w:p>
        </w:tc>
      </w:tr>
      <w:tr>
        <w:tc>
          <w:tcPr>
            <w:tcW w:type="dxa" w:w="5112"/>
          </w:tcPr>
          <w:p>
            <w:r>
              <w:t>Authenticated continuation</w:t>
            </w:r>
          </w:p>
        </w:tc>
        <w:tc>
          <w:tcPr>
            <w:tcW w:type="dxa" w:w="5112"/>
          </w:tcPr>
          <w:p>
            <w:r>
              <w:t>Restore prepared request and create formal case.</w:t>
            </w:r>
          </w:p>
        </w:tc>
      </w:tr>
      <w:tr>
        <w:tc>
          <w:tcPr>
            <w:tcW w:type="dxa" w:w="5112"/>
          </w:tcPr>
          <w:p>
            <w:r>
              <w:t>Scope/quote</w:t>
            </w:r>
          </w:p>
        </w:tc>
        <w:tc>
          <w:tcPr>
            <w:tcW w:type="dxa" w:w="5112"/>
          </w:tcPr>
          <w:p>
            <w:r>
              <w:t>Backend determines scope, service fee, external costs and quote.</w:t>
            </w:r>
          </w:p>
        </w:tc>
      </w:tr>
      <w:tr>
        <w:tc>
          <w:tcPr>
            <w:tcW w:type="dxa" w:w="5112"/>
          </w:tcPr>
          <w:p>
            <w:r>
              <w:t>Execution</w:t>
            </w:r>
          </w:p>
        </w:tc>
        <w:tc>
          <w:tcPr>
            <w:tcW w:type="dxa" w:w="5112"/>
          </w:tcPr>
          <w:p>
            <w:r>
              <w:t>Assigned field workflow follows latest confirmed project checklist/scope.</w:t>
            </w:r>
          </w:p>
        </w:tc>
      </w:tr>
      <w:tr>
        <w:tc>
          <w:tcPr>
            <w:tcW w:type="dxa" w:w="5112"/>
          </w:tcPr>
          <w:p>
            <w:r>
              <w:t>QC/report</w:t>
            </w:r>
          </w:p>
        </w:tc>
        <w:tc>
          <w:tcPr>
            <w:tcW w:type="dxa" w:w="5112"/>
          </w:tcPr>
          <w:p>
            <w:r>
              <w:t>Submitted fieldwork follows configured QC/rework/revisit flow before customer-facing completion where required.</w:t>
            </w:r>
          </w:p>
        </w:tc>
      </w:tr>
    </w:tbl>
    <w:p>
      <w:pPr>
        <w:pStyle w:val="Heading1"/>
      </w:pPr>
      <w:r>
        <w:t>9. Build use cases</w:t>
      </w:r>
    </w:p>
    <w:tbl>
      <w:tblPr>
        <w:tblStyle w:val="TableGrid"/>
        <w:tblW w:type="auto" w:w="0"/>
        <w:tblLook w:firstColumn="1" w:firstRow="1" w:lastColumn="0" w:lastRow="0" w:noHBand="0" w:noVBand="1" w:val="04A0"/>
      </w:tblPr>
      <w:tblGrid>
        <w:gridCol w:w="5112"/>
        <w:gridCol w:w="5112"/>
      </w:tblGrid>
      <w:tr>
        <w:tc>
          <w:tcPr>
            <w:tcW w:type="dxa" w:w="5112"/>
          </w:tcPr>
          <w:p>
            <w:r>
              <w:t>Use case</w:t>
            </w:r>
          </w:p>
        </w:tc>
        <w:tc>
          <w:tcPr>
            <w:tcW w:type="dxa" w:w="5112"/>
          </w:tcPr>
          <w:p>
            <w:r>
              <w:t>Customer need</w:t>
            </w:r>
          </w:p>
        </w:tc>
      </w:tr>
      <w:tr>
        <w:tc>
          <w:tcPr>
            <w:tcW w:type="dxa" w:w="5112"/>
          </w:tcPr>
          <w:p>
            <w:r>
              <w:t>Progress monitoring</w:t>
            </w:r>
          </w:p>
        </w:tc>
        <w:tc>
          <w:tcPr>
            <w:tcW w:type="dxa" w:w="5112"/>
          </w:tcPr>
          <w:p>
            <w:r>
              <w:t>Know what has changed since the previous visit.</w:t>
            </w:r>
          </w:p>
        </w:tc>
      </w:tr>
      <w:tr>
        <w:tc>
          <w:tcPr>
            <w:tcW w:type="dxa" w:w="5112"/>
          </w:tcPr>
          <w:p>
            <w:r>
              <w:t>Site visits</w:t>
            </w:r>
          </w:p>
        </w:tc>
        <w:tc>
          <w:tcPr>
            <w:tcW w:type="dxa" w:w="5112"/>
          </w:tcPr>
          <w:p>
            <w:r>
              <w:t>Have an accountable person visit the project according to the agreed schedule.</w:t>
            </w:r>
          </w:p>
        </w:tc>
      </w:tr>
      <w:tr>
        <w:tc>
          <w:tcPr>
            <w:tcW w:type="dxa" w:w="5112"/>
          </w:tcPr>
          <w:p>
            <w:r>
              <w:t>Evidence capture</w:t>
            </w:r>
          </w:p>
        </w:tc>
        <w:tc>
          <w:tcPr>
            <w:tcW w:type="dxa" w:w="5112"/>
          </w:tcPr>
          <w:p>
            <w:r>
              <w:t>Receive photos/video/notes where included in the confirmed scope.</w:t>
            </w:r>
          </w:p>
        </w:tc>
      </w:tr>
      <w:tr>
        <w:tc>
          <w:tcPr>
            <w:tcW w:type="dxa" w:w="5112"/>
          </w:tcPr>
          <w:p>
            <w:r>
              <w:t>Contractor oversight</w:t>
            </w:r>
          </w:p>
        </w:tc>
        <w:tc>
          <w:tcPr>
            <w:tcW w:type="dxa" w:w="5112"/>
          </w:tcPr>
          <w:p>
            <w:r>
              <w:t>Monitor agreed activities and flag exceptions within scope.</w:t>
            </w:r>
          </w:p>
        </w:tc>
      </w:tr>
      <w:tr>
        <w:tc>
          <w:tcPr>
            <w:tcW w:type="dxa" w:w="5112"/>
          </w:tcPr>
          <w:p>
            <w:r>
              <w:t>Milestone verification</w:t>
            </w:r>
          </w:p>
        </w:tc>
        <w:tc>
          <w:tcPr>
            <w:tcW w:type="dxa" w:w="5112"/>
          </w:tcPr>
          <w:p>
            <w:r>
              <w:t>Document agreed project milestones or observable completion.</w:t>
            </w:r>
          </w:p>
        </w:tc>
      </w:tr>
      <w:tr>
        <w:tc>
          <w:tcPr>
            <w:tcW w:type="dxa" w:w="5112"/>
          </w:tcPr>
          <w:p>
            <w:r>
              <w:t>Recurring supervision</w:t>
            </w:r>
          </w:p>
        </w:tc>
        <w:tc>
          <w:tcPr>
            <w:tcW w:type="dxa" w:w="5112"/>
          </w:tcPr>
          <w:p>
            <w:r>
              <w:t>Repeat visits/checks where the configured service supports recurring cases.</w:t>
            </w:r>
          </w:p>
        </w:tc>
      </w:tr>
    </w:tbl>
    <w:p>
      <w:pPr>
        <w:pStyle w:val="Heading1"/>
      </w:pPr>
      <w:r>
        <w:t>10. What gets checked</w:t>
      </w:r>
    </w:p>
    <w:p>
      <w:pPr>
        <w:pStyle w:val="ListBullet"/>
      </w:pPr>
      <w:r>
        <w:t>Agreed project/site areas.</w:t>
      </w:r>
    </w:p>
    <w:p>
      <w:pPr>
        <w:pStyle w:val="ListBullet"/>
      </w:pPr>
      <w:r>
        <w:t>Confirmed work activities or milestones.</w:t>
      </w:r>
    </w:p>
    <w:p>
      <w:pPr>
        <w:pStyle w:val="ListBullet"/>
      </w:pPr>
      <w:r>
        <w:t>Observable progress against the agreed scope.</w:t>
      </w:r>
    </w:p>
    <w:p>
      <w:pPr>
        <w:pStyle w:val="ListBullet"/>
      </w:pPr>
      <w:r>
        <w:t>Evidence requirements defined in the checklist.</w:t>
      </w:r>
    </w:p>
    <w:p>
      <w:pPr>
        <w:pStyle w:val="ListBullet"/>
      </w:pPr>
      <w:r>
        <w:t>Material exceptions or incidents identified during field execution.</w:t>
      </w:r>
    </w:p>
    <w:p>
      <w:pPr>
        <w:pStyle w:val="ListBullet"/>
      </w:pPr>
      <w:r>
        <w:t>Other project-specific checks defined in the confirmed scope.</w:t>
      </w:r>
    </w:p>
    <w:p>
      <w:r>
        <w:t>The page should avoid promising that ASOJU will determine technical structural adequacy, certify workmanship, approve architectural/engineering compliance or perform a professional valuation unless that exact capability is explicitly configured.</w:t>
      </w:r>
    </w:p>
    <w:p>
      <w:pPr>
        <w:pStyle w:val="Heading1"/>
      </w:pPr>
      <w:r>
        <w:t>11. How ASOJU Build works</w:t>
      </w:r>
    </w:p>
    <w:tbl>
      <w:tblPr>
        <w:tblStyle w:val="TableGrid"/>
        <w:tblW w:type="auto" w:w="0"/>
        <w:tblLook w:firstColumn="1" w:firstRow="1" w:lastColumn="0" w:lastRow="0" w:noHBand="0" w:noVBand="1" w:val="04A0"/>
      </w:tblPr>
      <w:tblGrid>
        <w:gridCol w:w="5112"/>
        <w:gridCol w:w="5112"/>
      </w:tblGrid>
      <w:tr>
        <w:tc>
          <w:tcPr>
            <w:tcW w:type="dxa" w:w="5112"/>
          </w:tcPr>
          <w:p>
            <w:r>
              <w:t>Step</w:t>
            </w:r>
          </w:p>
        </w:tc>
        <w:tc>
          <w:tcPr>
            <w:tcW w:type="dxa" w:w="5112"/>
          </w:tcPr>
          <w:p>
            <w:r>
              <w:t>Customer-facing explanation</w:t>
            </w:r>
          </w:p>
        </w:tc>
      </w:tr>
      <w:tr>
        <w:tc>
          <w:tcPr>
            <w:tcW w:type="dxa" w:w="5112"/>
          </w:tcPr>
          <w:p>
            <w:r>
              <w:t>1 — Tell us</w:t>
            </w:r>
          </w:p>
        </w:tc>
        <w:tc>
          <w:tcPr>
            <w:tcW w:type="dxa" w:w="5112"/>
          </w:tcPr>
          <w:p>
            <w:r>
              <w:t>Describe your project, location and what you need monitored.</w:t>
            </w:r>
          </w:p>
        </w:tc>
      </w:tr>
      <w:tr>
        <w:tc>
          <w:tcPr>
            <w:tcW w:type="dxa" w:w="5112"/>
          </w:tcPr>
          <w:p>
            <w:r>
              <w:t>2 — Define it</w:t>
            </w:r>
          </w:p>
        </w:tc>
        <w:tc>
          <w:tcPr>
            <w:tcW w:type="dxa" w:w="5112"/>
          </w:tcPr>
          <w:p>
            <w:r>
              <w:t>ASOJU clarifies the scope, visit/checklist requirements and expected outcome.</w:t>
            </w:r>
          </w:p>
        </w:tc>
      </w:tr>
      <w:tr>
        <w:tc>
          <w:tcPr>
            <w:tcW w:type="dxa" w:w="5112"/>
          </w:tcPr>
          <w:p>
            <w:r>
              <w:t>3 — We supervise</w:t>
            </w:r>
          </w:p>
        </w:tc>
        <w:tc>
          <w:tcPr>
            <w:tcW w:type="dxa" w:w="5112"/>
          </w:tcPr>
          <w:p>
            <w:r>
              <w:t>The assigned field workflow executes the confirmed project checks.</w:t>
            </w:r>
          </w:p>
        </w:tc>
      </w:tr>
      <w:tr>
        <w:tc>
          <w:tcPr>
            <w:tcW w:type="dxa" w:w="5112"/>
          </w:tcPr>
          <w:p>
            <w:r>
              <w:t>4 — You see what happened</w:t>
            </w:r>
          </w:p>
        </w:tc>
        <w:tc>
          <w:tcPr>
            <w:tcW w:type="dxa" w:w="5112"/>
          </w:tcPr>
          <w:p>
            <w:r>
              <w:t>Receive relevant updates, evidence, findings and report/completion information according to scope.</w:t>
            </w:r>
          </w:p>
        </w:tc>
      </w:tr>
    </w:tbl>
    <w:p>
      <w:pPr>
        <w:pStyle w:val="Heading1"/>
      </w:pPr>
      <w:r>
        <w:t>12. Why ASOJU Build</w:t>
      </w:r>
    </w:p>
    <w:p>
      <w:r>
        <w:t>Headline: “You shouldn't have to manage a project from another country by chasing WhatsApp updates.”</w:t>
      </w:r>
    </w:p>
    <w:tbl>
      <w:tblPr>
        <w:tblStyle w:val="TableGrid"/>
        <w:tblW w:type="auto" w:w="0"/>
        <w:tblLook w:firstColumn="1" w:firstRow="1" w:lastColumn="0" w:lastRow="0" w:noHBand="0" w:noVBand="1" w:val="04A0"/>
      </w:tblPr>
      <w:tblGrid>
        <w:gridCol w:w="5112"/>
        <w:gridCol w:w="5112"/>
      </w:tblGrid>
      <w:tr>
        <w:tc>
          <w:tcPr>
            <w:tcW w:type="dxa" w:w="5112"/>
          </w:tcPr>
          <w:p>
            <w:r>
              <w:t>Pillar</w:t>
            </w:r>
          </w:p>
        </w:tc>
        <w:tc>
          <w:tcPr>
            <w:tcW w:type="dxa" w:w="5112"/>
          </w:tcPr>
          <w:p>
            <w:r>
              <w:t>Message</w:t>
            </w:r>
          </w:p>
        </w:tc>
      </w:tr>
      <w:tr>
        <w:tc>
          <w:tcPr>
            <w:tcW w:type="dxa" w:w="5112"/>
          </w:tcPr>
          <w:p>
            <w:r>
              <w:t>On-the-ground representation</w:t>
            </w:r>
          </w:p>
        </w:tc>
        <w:tc>
          <w:tcPr>
            <w:tcW w:type="dxa" w:w="5112"/>
          </w:tcPr>
          <w:p>
            <w:r>
              <w:t>ASOJU gives the project an accountable local presence.</w:t>
            </w:r>
          </w:p>
        </w:tc>
      </w:tr>
      <w:tr>
        <w:tc>
          <w:tcPr>
            <w:tcW w:type="dxa" w:w="5112"/>
          </w:tcPr>
          <w:p>
            <w:r>
              <w:t>Evidence</w:t>
            </w:r>
          </w:p>
        </w:tc>
        <w:tc>
          <w:tcPr>
            <w:tcW w:type="dxa" w:w="5112"/>
          </w:tcPr>
          <w:p>
            <w:r>
              <w:t>See relevant evidence rather than relying only on verbal updates.</w:t>
            </w:r>
          </w:p>
        </w:tc>
      </w:tr>
      <w:tr>
        <w:tc>
          <w:tcPr>
            <w:tcW w:type="dxa" w:w="5112"/>
          </w:tcPr>
          <w:p>
            <w:r>
              <w:t>Clear scope</w:t>
            </w:r>
          </w:p>
        </w:tc>
        <w:tc>
          <w:tcPr>
            <w:tcW w:type="dxa" w:w="5112"/>
          </w:tcPr>
          <w:p>
            <w:r>
              <w:t>Know what the supervision/checklist is responsible for.</w:t>
            </w:r>
          </w:p>
        </w:tc>
      </w:tr>
      <w:tr>
        <w:tc>
          <w:tcPr>
            <w:tcW w:type="dxa" w:w="5112"/>
          </w:tcPr>
          <w:p>
            <w:r>
              <w:t>QC</w:t>
            </w:r>
          </w:p>
        </w:tc>
        <w:tc>
          <w:tcPr>
            <w:tcW w:type="dxa" w:w="5112"/>
          </w:tcPr>
          <w:p>
            <w:r>
              <w:t>Field submissions follow the configured quality-control process.</w:t>
            </w:r>
          </w:p>
        </w:tc>
      </w:tr>
      <w:tr>
        <w:tc>
          <w:tcPr>
            <w:tcW w:type="dxa" w:w="5112"/>
          </w:tcPr>
          <w:p>
            <w:r>
              <w:t>Accountability</w:t>
            </w:r>
          </w:p>
        </w:tc>
        <w:tc>
          <w:tcPr>
            <w:tcW w:type="dxa" w:w="5112"/>
          </w:tcPr>
          <w:p>
            <w:r>
              <w:t>The work is tracked through a controlled case workflow.</w:t>
            </w:r>
          </w:p>
        </w:tc>
      </w:tr>
    </w:tbl>
    <w:p>
      <w:pPr>
        <w:pStyle w:val="Heading1"/>
      </w:pPr>
      <w:r>
        <w:t>13. What the customer receives</w:t>
      </w:r>
    </w:p>
    <w:p>
      <w:pPr>
        <w:pStyle w:val="ListBullet"/>
      </w:pPr>
      <w:r>
        <w:t>Agreed project supervision scope.</w:t>
      </w:r>
    </w:p>
    <w:p>
      <w:pPr>
        <w:pStyle w:val="ListBullet"/>
      </w:pPr>
      <w:r>
        <w:t>Scheduled/assigned visit information where applicable.</w:t>
      </w:r>
    </w:p>
    <w:p>
      <w:pPr>
        <w:pStyle w:val="ListBullet"/>
      </w:pPr>
      <w:r>
        <w:t>Relevant field evidence.</w:t>
      </w:r>
    </w:p>
    <w:p>
      <w:pPr>
        <w:pStyle w:val="ListBullet"/>
      </w:pPr>
      <w:r>
        <w:t>Recorded observations and exceptions.</w:t>
      </w:r>
    </w:p>
    <w:p>
      <w:pPr>
        <w:pStyle w:val="ListBullet"/>
      </w:pPr>
      <w:r>
        <w:t>QC outcome where applicable.</w:t>
      </w:r>
    </w:p>
    <w:p>
      <w:pPr>
        <w:pStyle w:val="ListBullet"/>
      </w:pPr>
      <w:r>
        <w:t>Customer-facing report/completion information according to the agreed service.</w:t>
      </w:r>
    </w:p>
    <w:p>
      <w:r>
        <w:t>Do not promise a fixed number of site visits, photographs, response times, project outcomes or contractor performance unless the confirmed case scope explicitly contains them.</w:t>
      </w:r>
    </w:p>
    <w:p>
      <w:pPr>
        <w:pStyle w:val="Heading1"/>
      </w:pPr>
      <w:r>
        <w:t>14. Inspect vs Build</w:t>
      </w:r>
    </w:p>
    <w:tbl>
      <w:tblPr>
        <w:tblStyle w:val="TableGrid"/>
        <w:tblW w:type="auto" w:w="0"/>
        <w:tblLook w:firstColumn="1" w:firstRow="1" w:lastColumn="0" w:lastRow="0" w:noHBand="0" w:noVBand="1" w:val="04A0"/>
      </w:tblPr>
      <w:tblGrid>
        <w:gridCol w:w="5112"/>
        <w:gridCol w:w="5112"/>
      </w:tblGrid>
      <w:tr>
        <w:tc>
          <w:tcPr>
            <w:tcW w:type="dxa" w:w="5112"/>
          </w:tcPr>
          <w:p>
            <w:r>
              <w:t>ASOJU Inspect</w:t>
            </w:r>
          </w:p>
        </w:tc>
        <w:tc>
          <w:tcPr>
            <w:tcW w:type="dxa" w:w="5112"/>
          </w:tcPr>
          <w:p>
            <w:r>
              <w:t>ASOJU Build</w:t>
            </w:r>
          </w:p>
        </w:tc>
      </w:tr>
      <w:tr>
        <w:tc>
          <w:tcPr>
            <w:tcW w:type="dxa" w:w="5112"/>
          </w:tcPr>
          <w:p>
            <w:r>
              <w:t>Defined inspection/check of a property, asset or site.</w:t>
            </w:r>
          </w:p>
        </w:tc>
        <w:tc>
          <w:tcPr>
            <w:tcW w:type="dxa" w:w="5112"/>
          </w:tcPr>
          <w:p>
            <w:r>
              <w:t>Ongoing or project-oriented construction supervision and monitoring.</w:t>
            </w:r>
          </w:p>
        </w:tc>
      </w:tr>
      <w:tr>
        <w:tc>
          <w:tcPr>
            <w:tcW w:type="dxa" w:w="5112"/>
          </w:tcPr>
          <w:p>
            <w:r>
              <w:t>Focus: what is there / what was observed.</w:t>
            </w:r>
          </w:p>
        </w:tc>
        <w:tc>
          <w:tcPr>
            <w:tcW w:type="dxa" w:w="5112"/>
          </w:tcPr>
          <w:p>
            <w:r>
              <w:t>Focus: how the project is progressing against agreed activities/milestones.</w:t>
            </w:r>
          </w:p>
        </w:tc>
      </w:tr>
      <w:tr>
        <w:tc>
          <w:tcPr>
            <w:tcW w:type="dxa" w:w="5112"/>
          </w:tcPr>
          <w:p>
            <w:r>
              <w:t>Typically a specific inspection objective.</w:t>
            </w:r>
          </w:p>
        </w:tc>
        <w:tc>
          <w:tcPr>
            <w:tcW w:type="dxa" w:w="5112"/>
          </w:tcPr>
          <w:p>
            <w:r>
              <w:t>May involve recurring site visits and continuing project oversight.</w:t>
            </w:r>
          </w:p>
        </w:tc>
      </w:tr>
      <w:tr>
        <w:tc>
          <w:tcPr>
            <w:tcW w:type="dxa" w:w="5112"/>
          </w:tcPr>
          <w:p>
            <w:r>
              <w:t>Inspection evidence/report according to scope.</w:t>
            </w:r>
          </w:p>
        </w:tc>
        <w:tc>
          <w:tcPr>
            <w:tcW w:type="dxa" w:w="5112"/>
          </w:tcPr>
          <w:p>
            <w:r>
              <w:t>Project monitoring, evidence, escalation and updates according to scope.</w:t>
            </w:r>
          </w:p>
        </w:tc>
      </w:tr>
    </w:tbl>
    <w:p>
      <w:r>
        <w:t>This comparison should be visible on the Build page so customers do not have to understand internal service taxonomy.</w:t>
      </w:r>
    </w:p>
    <w:p>
      <w:pPr>
        <w:pStyle w:val="Heading1"/>
      </w:pPr>
      <w:r>
        <w:t>15. Evidence, QC and exceptions</w:t>
      </w:r>
    </w:p>
    <w:p>
      <w:pPr>
        <w:pStyle w:val="ListBullet"/>
      </w:pPr>
      <w:r>
        <w:t>Field Agent/Provider works from the latest confirmed scope/checklist.</w:t>
      </w:r>
    </w:p>
    <w:p>
      <w:pPr>
        <w:pStyle w:val="ListBullet"/>
      </w:pPr>
      <w:r>
        <w:t>Evidence is captured within the case workflow.</w:t>
      </w:r>
    </w:p>
    <w:p>
      <w:pPr>
        <w:pStyle w:val="ListBullet"/>
      </w:pPr>
      <w:r>
        <w:t>Submitted fieldwork can be sent to QC for review.</w:t>
      </w:r>
    </w:p>
    <w:p>
      <w:pPr>
        <w:pStyle w:val="ListBullet"/>
      </w:pPr>
      <w:r>
        <w:t>QC may approve, approve with limitation, send back for rework, require revisit or escalate an incident according to backend-defined outcomes.</w:t>
      </w:r>
    </w:p>
    <w:p>
      <w:pPr>
        <w:pStyle w:val="ListBullet"/>
      </w:pPr>
      <w:r>
        <w:t>Customer-facing UI must distinguish submitted, under review, rework/revisit, approved and completed states where supported.</w:t>
      </w:r>
    </w:p>
    <w:p>
      <w:pPr>
        <w:pStyle w:val="ListBullet"/>
      </w:pPr>
      <w:r>
        <w:t>Evidence access remains private and permission-controlled.</w:t>
      </w:r>
    </w:p>
    <w:p>
      <w:pPr>
        <w:pStyle w:val="Heading1"/>
      </w:pPr>
      <w:r>
        <w:t>16. Pricing and quote behavior</w:t>
      </w:r>
    </w:p>
    <w:p>
      <w:pPr>
        <w:pStyle w:val="ListBullet"/>
      </w:pPr>
      <w:r>
        <w:t>Do not publish invented Build package prices.</w:t>
      </w:r>
    </w:p>
    <w:p>
      <w:pPr>
        <w:pStyle w:val="ListBullet"/>
      </w:pPr>
      <w:r>
        <w:t>Formal scope and quote come from the existing quote workflow.</w:t>
      </w:r>
    </w:p>
    <w:p>
      <w:pPr>
        <w:pStyle w:val="ListBullet"/>
      </w:pPr>
      <w:r>
        <w:t>Quote should distinguish ASOJU service fees from external/provider/professional costs and applicable tax lines where configured.</w:t>
      </w:r>
    </w:p>
    <w:p>
      <w:pPr>
        <w:pStyle w:val="ListBullet"/>
      </w:pPr>
      <w:r>
        <w:t>Quote acceptance and payment require authentication.</w:t>
      </w:r>
    </w:p>
    <w:p>
      <w:pPr>
        <w:pStyle w:val="ListBullet"/>
      </w:pPr>
      <w:r>
        <w:t>Expired quotes must not be accepted.</w:t>
      </w:r>
    </w:p>
    <w:p>
      <w:pPr>
        <w:pStyle w:val="Heading1"/>
      </w:pPr>
      <w:r>
        <w:t>17. FAQ framework</w:t>
      </w:r>
    </w:p>
    <w:p>
      <w:pPr>
        <w:pStyle w:val="ListBullet"/>
      </w:pPr>
      <w:r>
        <w:t>Can ASOJU supervise my construction project while I am abroad?</w:t>
      </w:r>
    </w:p>
    <w:p>
      <w:pPr>
        <w:pStyle w:val="ListBullet"/>
      </w:pPr>
      <w:r>
        <w:t>Can you make regular site visits?</w:t>
      </w:r>
    </w:p>
    <w:p>
      <w:pPr>
        <w:pStyle w:val="ListBullet"/>
      </w:pPr>
      <w:r>
        <w:t>What will you check during a site visit?</w:t>
      </w:r>
    </w:p>
    <w:p>
      <w:pPr>
        <w:pStyle w:val="ListBullet"/>
      </w:pPr>
      <w:r>
        <w:t>Will I receive photos or video?</w:t>
      </w:r>
    </w:p>
    <w:p>
      <w:pPr>
        <w:pStyle w:val="ListBullet"/>
      </w:pPr>
      <w:r>
        <w:t>Can you monitor contractor progress?</w:t>
      </w:r>
    </w:p>
    <w:p>
      <w:pPr>
        <w:pStyle w:val="ListBullet"/>
      </w:pPr>
      <w:r>
        <w:t>What happens if something looks wrong?</w:t>
      </w:r>
    </w:p>
    <w:p>
      <w:pPr>
        <w:pStyle w:val="ListBullet"/>
      </w:pPr>
      <w:r>
        <w:t>Can ASOJU approve construction work for me?</w:t>
      </w:r>
    </w:p>
    <w:p>
      <w:pPr>
        <w:pStyle w:val="ListBullet"/>
      </w:pPr>
      <w:r>
        <w:t>What is the difference between ASOJU Build and ASOJU Inspect?</w:t>
      </w:r>
    </w:p>
    <w:p>
      <w:pPr>
        <w:pStyle w:val="ListBullet"/>
      </w:pPr>
      <w:r>
        <w:t>Can I start the request before I create an account?</w:t>
      </w:r>
    </w:p>
    <w:p>
      <w:r>
        <w:t>Answers must reflect actual ASOJU configuration and scope. Do not imply professional certification, engineering approval, legal authority or guaranteed project outcomes.</w:t>
      </w:r>
    </w:p>
    <w:p>
      <w:pPr>
        <w:pStyle w:val="Heading1"/>
      </w:pPr>
      <w:r>
        <w:t>18. Front-end components</w:t>
      </w:r>
    </w:p>
    <w:p>
      <w:pPr>
        <w:pStyle w:val="ListBullet"/>
      </w:pPr>
      <w:r>
        <w:t>ServiceHero</w:t>
      </w:r>
    </w:p>
    <w:p>
      <w:pPr>
        <w:pStyle w:val="ListBullet"/>
      </w:pPr>
      <w:r>
        <w:t>BuildConciergePanel</w:t>
      </w:r>
    </w:p>
    <w:p>
      <w:pPr>
        <w:pStyle w:val="ListBullet"/>
      </w:pPr>
      <w:r>
        <w:t>ExamplePromptList</w:t>
      </w:r>
    </w:p>
    <w:p>
      <w:pPr>
        <w:pStyle w:val="ListBullet"/>
      </w:pPr>
      <w:r>
        <w:t>BuildUseCaseCards</w:t>
      </w:r>
    </w:p>
    <w:p>
      <w:pPr>
        <w:pStyle w:val="ListBullet"/>
      </w:pPr>
      <w:r>
        <w:t>ScopeChecklistSection</w:t>
      </w:r>
    </w:p>
    <w:p>
      <w:pPr>
        <w:pStyle w:val="ListBullet"/>
      </w:pPr>
      <w:r>
        <w:t>EvidenceAndQCSection</w:t>
      </w:r>
    </w:p>
    <w:p>
      <w:pPr>
        <w:pStyle w:val="ListBullet"/>
      </w:pPr>
      <w:r>
        <w:t>HowItWorks</w:t>
      </w:r>
    </w:p>
    <w:p>
      <w:pPr>
        <w:pStyle w:val="ListBullet"/>
      </w:pPr>
      <w:r>
        <w:t>TrustPillars</w:t>
      </w:r>
    </w:p>
    <w:p>
      <w:pPr>
        <w:pStyle w:val="ListBullet"/>
      </w:pPr>
      <w:r>
        <w:t>CustomerOutcomeSection</w:t>
      </w:r>
    </w:p>
    <w:p>
      <w:pPr>
        <w:pStyle w:val="ListBullet"/>
      </w:pPr>
      <w:r>
        <w:t>InspectVsBuildComparison</w:t>
      </w:r>
    </w:p>
    <w:p>
      <w:pPr>
        <w:pStyle w:val="ListBullet"/>
      </w:pPr>
      <w:r>
        <w:t>FAQAccordion</w:t>
      </w:r>
    </w:p>
    <w:p>
      <w:pPr>
        <w:pStyle w:val="ListBullet"/>
      </w:pPr>
      <w:r>
        <w:t>ServiceCTA</w:t>
      </w:r>
    </w:p>
    <w:p>
      <w:pPr>
        <w:pStyle w:val="ListBullet"/>
      </w:pPr>
      <w:r>
        <w:t>GlobalHeader</w:t>
      </w:r>
    </w:p>
    <w:p>
      <w:pPr>
        <w:pStyle w:val="ListBullet"/>
      </w:pPr>
      <w:r>
        <w:t>GlobalFooter</w:t>
      </w:r>
    </w:p>
    <w:p>
      <w:pPr>
        <w:pStyle w:val="Heading1"/>
      </w:pPr>
      <w:r>
        <w:t>19. Responsive behavior</w:t>
      </w:r>
    </w:p>
    <w:tbl>
      <w:tblPr>
        <w:tblStyle w:val="TableGrid"/>
        <w:tblW w:type="auto" w:w="0"/>
        <w:tblLook w:firstColumn="1" w:firstRow="1" w:lastColumn="0" w:lastRow="0" w:noHBand="0" w:noVBand="1" w:val="04A0"/>
      </w:tblPr>
      <w:tblGrid>
        <w:gridCol w:w="5112"/>
        <w:gridCol w:w="5112"/>
      </w:tblGrid>
      <w:tr>
        <w:tc>
          <w:tcPr>
            <w:tcW w:type="dxa" w:w="5112"/>
          </w:tcPr>
          <w:p>
            <w:r>
              <w:t>Viewport</w:t>
            </w:r>
          </w:p>
        </w:tc>
        <w:tc>
          <w:tcPr>
            <w:tcW w:type="dxa" w:w="5112"/>
          </w:tcPr>
          <w:p>
            <w:r>
              <w:t>Requirement</w:t>
            </w:r>
          </w:p>
        </w:tc>
      </w:tr>
      <w:tr>
        <w:tc>
          <w:tcPr>
            <w:tcW w:type="dxa" w:w="5112"/>
          </w:tcPr>
          <w:p>
            <w:r>
              <w:t>Desktop</w:t>
            </w:r>
          </w:p>
        </w:tc>
        <w:tc>
          <w:tcPr>
            <w:tcW w:type="dxa" w:w="5112"/>
          </w:tcPr>
          <w:p>
            <w:r>
              <w:t>Hero + Concierge dominant; use case cards and process grid; clear evidence/QC visual hierarchy.</w:t>
            </w:r>
          </w:p>
        </w:tc>
      </w:tr>
      <w:tr>
        <w:tc>
          <w:tcPr>
            <w:tcW w:type="dxa" w:w="5112"/>
          </w:tcPr>
          <w:p>
            <w:r>
              <w:t>Tablet</w:t>
            </w:r>
          </w:p>
        </w:tc>
        <w:tc>
          <w:tcPr>
            <w:tcW w:type="dxa" w:w="5112"/>
          </w:tcPr>
          <w:p>
            <w:r>
              <w:t>Two-column cards; preserve Concierge prominence.</w:t>
            </w:r>
          </w:p>
        </w:tc>
      </w:tr>
      <w:tr>
        <w:tc>
          <w:tcPr>
            <w:tcW w:type="dxa" w:w="5112"/>
          </w:tcPr>
          <w:p>
            <w:r>
              <w:t>Mobile</w:t>
            </w:r>
          </w:p>
        </w:tc>
        <w:tc>
          <w:tcPr>
            <w:tcW w:type="dxa" w:w="5112"/>
          </w:tcPr>
          <w:p>
            <w:r>
              <w:t>Concierge first; use cases stack; Inspect-vs-Build comparison becomes a vertical comparison; CTA remains prominent.</w:t>
            </w:r>
          </w:p>
        </w:tc>
      </w:tr>
    </w:tbl>
    <w:p>
      <w:pPr>
        <w:pStyle w:val="Heading1"/>
      </w:pPr>
      <w:r>
        <w:t>20. Accessibility</w:t>
      </w:r>
    </w:p>
    <w:p>
      <w:pPr>
        <w:pStyle w:val="ListBullet"/>
      </w:pPr>
      <w:r>
        <w:t>Concierge input has a visible/programmatic label.</w:t>
      </w:r>
    </w:p>
    <w:p>
      <w:pPr>
        <w:pStyle w:val="ListBullet"/>
      </w:pPr>
      <w:r>
        <w:t>Example prompts are keyboard accessible.</w:t>
      </w:r>
    </w:p>
    <w:p>
      <w:pPr>
        <w:pStyle w:val="ListBullet"/>
      </w:pPr>
      <w:r>
        <w:t>Conversation updates are accessible to assistive technology.</w:t>
      </w:r>
    </w:p>
    <w:p>
      <w:pPr>
        <w:pStyle w:val="ListBullet"/>
      </w:pPr>
      <w:r>
        <w:t>Comparison table has meaningful headers and responsive treatment.</w:t>
      </w:r>
    </w:p>
    <w:p>
      <w:pPr>
        <w:pStyle w:val="ListBullet"/>
      </w:pPr>
      <w:r>
        <w:t>Status/QC outcomes are not conveyed through color alone.</w:t>
      </w:r>
    </w:p>
    <w:p>
      <w:pPr>
        <w:pStyle w:val="ListBullet"/>
      </w:pPr>
      <w:r>
        <w:t>All interactive elements have visible focus and usable touch targets.</w:t>
      </w:r>
    </w:p>
    <w:p>
      <w:pPr>
        <w:pStyle w:val="Heading1"/>
      </w:pPr>
      <w:r>
        <w:t>21. Analytics</w:t>
      </w:r>
    </w:p>
    <w:p>
      <w:pPr>
        <w:pStyle w:val="ListBullet"/>
      </w:pPr>
      <w:r>
        <w:t>build_page_view</w:t>
      </w:r>
    </w:p>
    <w:p>
      <w:pPr>
        <w:pStyle w:val="ListBullet"/>
      </w:pPr>
      <w:r>
        <w:t>build_concierge_open</w:t>
      </w:r>
    </w:p>
    <w:p>
      <w:pPr>
        <w:pStyle w:val="ListBullet"/>
      </w:pPr>
      <w:r>
        <w:t>build_prompt_click</w:t>
      </w:r>
    </w:p>
    <w:p>
      <w:pPr>
        <w:pStyle w:val="ListBullet"/>
      </w:pPr>
      <w:r>
        <w:t>build_progress_monitoring_interest</w:t>
      </w:r>
    </w:p>
    <w:p>
      <w:pPr>
        <w:pStyle w:val="ListBullet"/>
      </w:pPr>
      <w:r>
        <w:t>build_recurring_visit_interest</w:t>
      </w:r>
    </w:p>
    <w:p>
      <w:pPr>
        <w:pStyle w:val="ListBullet"/>
      </w:pPr>
      <w:r>
        <w:t>build_evidence_interest</w:t>
      </w:r>
    </w:p>
    <w:p>
      <w:pPr>
        <w:pStyle w:val="ListBullet"/>
      </w:pPr>
      <w:r>
        <w:t>build_conversation_started</w:t>
      </w:r>
    </w:p>
    <w:p>
      <w:pPr>
        <w:pStyle w:val="ListBullet"/>
      </w:pPr>
      <w:r>
        <w:t>build_structured_request</w:t>
      </w:r>
    </w:p>
    <w:p>
      <w:pPr>
        <w:pStyle w:val="ListBullet"/>
      </w:pPr>
      <w:r>
        <w:t>build_auth_gate</w:t>
      </w:r>
    </w:p>
    <w:p>
      <w:pPr>
        <w:pStyle w:val="ListBullet"/>
      </w:pPr>
      <w:r>
        <w:t>build_case_created</w:t>
      </w:r>
    </w:p>
    <w:p>
      <w:pPr>
        <w:pStyle w:val="ListBullet"/>
      </w:pPr>
      <w:r>
        <w:t>build_cta_click</w:t>
      </w:r>
    </w:p>
    <w:p>
      <w:r>
        <w:t>Do not transmit sensitive project free-text into analytics unless explicitly approved by the project's privacy/data-governance rules.</w:t>
      </w:r>
    </w:p>
    <w:p>
      <w:pPr>
        <w:pStyle w:val="Heading1"/>
      </w:pPr>
      <w:r>
        <w:t>22. Engineering rules</w:t>
      </w:r>
    </w:p>
    <w:p>
      <w:pPr>
        <w:pStyle w:val="ListBullet"/>
      </w:pPr>
      <w:r>
        <w:t>Map ASOJU Build to the existing Construction Supervision service and related checklists/configuration.</w:t>
      </w:r>
    </w:p>
    <w:p>
      <w:pPr>
        <w:pStyle w:val="ListBullet"/>
      </w:pPr>
      <w:r>
        <w:t>Use the existing case engine, assignment, field workflow, evidence, QC, audit and quote/payment architecture.</w:t>
      </w:r>
    </w:p>
    <w:p>
      <w:pPr>
        <w:pStyle w:val="ListBullet"/>
      </w:pPr>
      <w:r>
        <w:t>Server remains authoritative for case state, scope, assignment and QC.</w:t>
      </w:r>
    </w:p>
    <w:p>
      <w:pPr>
        <w:pStyle w:val="ListBullet"/>
      </w:pPr>
      <w:r>
        <w:t>Use signed/private evidence access controls.</w:t>
      </w:r>
    </w:p>
    <w:p>
      <w:pPr>
        <w:pStyle w:val="ListBullet"/>
      </w:pPr>
      <w:r>
        <w:t>Do not calculate project progress, QC decisions or financial totals in the browser.</w:t>
      </w:r>
    </w:p>
    <w:p>
      <w:pPr>
        <w:pStyle w:val="ListBullet"/>
      </w:pPr>
      <w:r>
        <w:t>Authentication is required for formal case creation, quote and payment, not for anonymous Concierge exploration.</w:t>
      </w:r>
    </w:p>
    <w:p>
      <w:pPr>
        <w:pStyle w:val="ListBullet"/>
      </w:pPr>
      <w:r>
        <w:t>Use duplicate-safe case creation and explicit retry/error states.</w:t>
      </w:r>
    </w:p>
    <w:p>
      <w:pPr>
        <w:pStyle w:val="ListBullet"/>
      </w:pPr>
      <w:r>
        <w:t>Preserve latest confirmed scope for field execution.</w:t>
      </w:r>
    </w:p>
    <w:p>
      <w:pPr>
        <w:pStyle w:val="ListBullet"/>
      </w:pPr>
      <w:r>
        <w:t>Support project-specific exceptions/incidents without exposing internal risk/audit data to customers.</w:t>
      </w:r>
    </w:p>
    <w:p>
      <w:pPr>
        <w:pStyle w:val="Heading1"/>
      </w:pPr>
      <w:r>
        <w:t>23. Acceptance criteria</w:t>
      </w:r>
    </w:p>
    <w:p>
      <w:pPr>
        <w:pStyle w:val="ListBullet"/>
      </w:pPr>
      <w:r>
        <w:t>Visitor immediately understands ASOJU Build as construction/project supervision from a distance.</w:t>
      </w:r>
    </w:p>
    <w:p>
      <w:pPr>
        <w:pStyle w:val="ListBullet"/>
      </w:pPr>
      <w:r>
        <w:t>Exact locked service name and promise are used.</w:t>
      </w:r>
    </w:p>
    <w:p>
      <w:pPr>
        <w:pStyle w:val="ListBullet"/>
      </w:pPr>
      <w:r>
        <w:t>Concierge works anonymously.</w:t>
      </w:r>
    </w:p>
    <w:p>
      <w:pPr>
        <w:pStyle w:val="ListBullet"/>
      </w:pPr>
      <w:r>
        <w:t>Concierge captures project location, objective and requested monitoring.</w:t>
      </w:r>
    </w:p>
    <w:p>
      <w:pPr>
        <w:pStyle w:val="ListBullet"/>
      </w:pPr>
      <w:r>
        <w:t>Formal case creation requires authentication.</w:t>
      </w:r>
    </w:p>
    <w:p>
      <w:pPr>
        <w:pStyle w:val="ListBullet"/>
      </w:pPr>
      <w:r>
        <w:t>Scope and quote are backend-authoritative.</w:t>
      </w:r>
    </w:p>
    <w:p>
      <w:pPr>
        <w:pStyle w:val="ListBullet"/>
      </w:pPr>
      <w:r>
        <w:t>Field execution is tied to confirmed scope/checklist.</w:t>
      </w:r>
    </w:p>
    <w:p>
      <w:pPr>
        <w:pStyle w:val="ListBullet"/>
      </w:pPr>
      <w:r>
        <w:t>Evidence/QC/rework/revisit states are represented correctly.</w:t>
      </w:r>
    </w:p>
    <w:p>
      <w:pPr>
        <w:pStyle w:val="ListBullet"/>
      </w:pPr>
      <w:r>
        <w:t>Build is clearly distinguished from Inspect.</w:t>
      </w:r>
    </w:p>
    <w:p>
      <w:pPr>
        <w:pStyle w:val="ListBullet"/>
      </w:pPr>
      <w:r>
        <w:t>No unsupported professional certification or construction guarantee is implied.</w:t>
      </w:r>
    </w:p>
    <w:p>
      <w:pPr>
        <w:pStyle w:val="ListBullet"/>
      </w:pPr>
      <w:r>
        <w:t>Responsive, accessibility, error-state and E2E QA pass.</w:t>
      </w:r>
    </w:p>
    <w:p>
      <w:pPr>
        <w:pStyle w:val="Heading1"/>
      </w:pPr>
      <w:r>
        <w:t>24. Developer build sequence</w:t>
      </w:r>
    </w:p>
    <w:p>
      <w:r>
        <w:t>1. Audit current Construction Supervision service/checklist configuration.</w:t>
      </w:r>
    </w:p>
    <w:p>
      <w:r>
        <w:t>2. Map the backend capability to ASOJU Build.</w:t>
      </w:r>
    </w:p>
    <w:p>
      <w:r>
        <w:t>3. Build the service page using the shared service-page system.</w:t>
      </w:r>
    </w:p>
    <w:p>
      <w:r>
        <w:t>4. Connect Build Concierge prompts to the existing AI Concierge.</w:t>
      </w:r>
    </w:p>
    <w:p>
      <w:r>
        <w:t>5. Implement anonymous → authentication → formal case creation.</w:t>
      </w:r>
    </w:p>
    <w:p>
      <w:r>
        <w:t>6. Connect to scope, quote, assignment, field evidence and QC/report states.</w:t>
      </w:r>
    </w:p>
    <w:p>
      <w:r>
        <w:t>7. Implement Inspect-vs-Build comparison.</w:t>
      </w:r>
    </w:p>
    <w:p>
      <w:r>
        <w:t>8. Add responsive/accessibility/error-state handling.</w:t>
      </w:r>
    </w:p>
    <w:p>
      <w:r>
        <w:t>9. Run E2E and manual UX testing.</w:t>
      </w:r>
    </w:p>
    <w:p>
      <w:r>
        <w:t>10. Review all public copy against actual configured Build capabilities before production.</w:t>
      </w:r>
    </w:p>
    <w:p>
      <w:pPr>
        <w:pStyle w:val="Heading1"/>
      </w:pPr>
      <w:r>
        <w:t>25. Product boundary</w:t>
      </w:r>
    </w:p>
    <w:p>
      <w:r>
        <w:t>ASOJU Build is the customer-facing family for construction supervision and project monitoring. ASOJU Inspect remains the family for defined inspection/checking of properties, assets and sites. The frontend should preserve this distinction while both use the common ASOJU case engine.</w:t>
      </w:r>
    </w:p>
    <w:p>
      <w:r>
        <w:t>Primary source basis: current ASOJU build documentation, the locked six-service architecture, and the previously created homepage/service-page specifications. Exact sub-services and provider capabilities must be verified against the current repository/configuration before release.</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