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ASOJU BACKEND / API ENGINEERING SPECIFICATION</w:t>
      </w:r>
    </w:p>
    <w:p>
      <w:pPr>
        <w:jc w:val="center"/>
      </w:pPr>
      <w:r>
        <w:rPr>
          <w:i/>
        </w:rPr>
        <w:t>Autonomous Concierge • cases • scope • dynamic pricing • quotes • payment • escalation</w:t>
        <w:br/>
        <w:t>Version 2.0 • 15 August 2026</w:t>
      </w:r>
    </w:p>
    <w:p>
      <w:pPr>
        <w:pStyle w:val="Heading1"/>
      </w:pPr>
      <w:r>
        <w:t>1. Purpose and architecture change</w:t>
      </w:r>
    </w:p>
    <w:p>
      <w:r>
        <w:t>This revision updates the ASOJU backend/API architecture to support the revised AI Concierge vision: the Concierge can progress an eligible customer request through structured scope, automated case creation, deterministic quote calculation and payment initiation, with human escalation used when configured conditions require review.</w:t>
      </w:r>
    </w:p>
    <w:p>
      <w:r>
        <w:t>The AI is an orchestrator, not the business authority. AI interprets language and proposes structured inputs; deterministic backend services decide eligibility, pricing, authorization, case state and payment state.</w:t>
      </w:r>
    </w:p>
    <w:p>
      <w:r>
        <w:t>The actual repository, database, authentication system, payment provider and existing API architecture remain authoritative. This specification is the target logical architecture to reconcile with the implementation.</w:t>
      </w:r>
    </w:p>
    <w:p>
      <w:pPr>
        <w:pStyle w:val="Heading1"/>
      </w:pPr>
      <w:r>
        <w:t>2. Target transaction lifecycle</w:t>
      </w:r>
    </w:p>
    <w:p>
      <w:r>
        <w:t>Customer request → AI clarification → service classification → structured scope → automation eligibility → authenticated case creation → quote calculation → quote issuance → customer acceptance → payment initiation → payment confirmation → execution</w:t>
      </w:r>
    </w:p>
    <w:p>
      <w:r>
        <w:t>Escalation may occur at any checkpoint where automation eligibility fails.</w:t>
      </w:r>
    </w:p>
    <w:p>
      <w:pPr>
        <w:pStyle w:val="Heading1"/>
      </w:pPr>
      <w:r>
        <w:t>3. Automation maturity model</w:t>
      </w:r>
    </w:p>
    <w:tbl>
      <w:tblPr>
        <w:tblStyle w:val="TableGrid"/>
        <w:tblW w:type="auto" w:w="0"/>
        <w:tblLook w:firstColumn="1" w:firstRow="1" w:lastColumn="0" w:lastRow="0" w:noHBand="0" w:noVBand="1" w:val="04A0"/>
      </w:tblPr>
      <w:tblGrid>
        <w:gridCol w:w="5256"/>
        <w:gridCol w:w="5256"/>
      </w:tblGrid>
      <w:tr>
        <w:tc>
          <w:tcPr>
            <w:tcW w:type="dxa" w:w="5256"/>
          </w:tcPr>
          <w:p>
            <w:r>
              <w:t>Level</w:t>
            </w:r>
          </w:p>
        </w:tc>
        <w:tc>
          <w:tcPr>
            <w:tcW w:type="dxa" w:w="5256"/>
          </w:tcPr>
          <w:p>
            <w:r>
              <w:t>Backend capability</w:t>
            </w:r>
          </w:p>
        </w:tc>
      </w:tr>
      <w:tr>
        <w:tc>
          <w:tcPr>
            <w:tcW w:type="dxa" w:w="5256"/>
          </w:tcPr>
          <w:p>
            <w:r>
              <w:t>A0</w:t>
            </w:r>
          </w:p>
        </w:tc>
        <w:tc>
          <w:tcPr>
            <w:tcW w:type="dxa" w:w="5256"/>
          </w:tcPr>
          <w:p>
            <w:r>
              <w:t>Conversation/assistance only.</w:t>
            </w:r>
          </w:p>
        </w:tc>
      </w:tr>
      <w:tr>
        <w:tc>
          <w:tcPr>
            <w:tcW w:type="dxa" w:w="5256"/>
          </w:tcPr>
          <w:p>
            <w:r>
              <w:t>A1</w:t>
            </w:r>
          </w:p>
        </w:tc>
        <w:tc>
          <w:tcPr>
            <w:tcW w:type="dxa" w:w="5256"/>
          </w:tcPr>
          <w:p>
            <w:r>
              <w:t>Structured request and scope draft.</w:t>
            </w:r>
          </w:p>
        </w:tc>
      </w:tr>
      <w:tr>
        <w:tc>
          <w:tcPr>
            <w:tcW w:type="dxa" w:w="5256"/>
          </w:tcPr>
          <w:p>
            <w:r>
              <w:t>A2</w:t>
            </w:r>
          </w:p>
        </w:tc>
        <w:tc>
          <w:tcPr>
            <w:tcW w:type="dxa" w:w="5256"/>
          </w:tcPr>
          <w:p>
            <w:r>
              <w:t>Automated authenticated case creation.</w:t>
            </w:r>
          </w:p>
        </w:tc>
      </w:tr>
      <w:tr>
        <w:tc>
          <w:tcPr>
            <w:tcW w:type="dxa" w:w="5256"/>
          </w:tcPr>
          <w:p>
            <w:r>
              <w:t>A3</w:t>
            </w:r>
          </w:p>
        </w:tc>
        <w:tc>
          <w:tcPr>
            <w:tcW w:type="dxa" w:w="5256"/>
          </w:tcPr>
          <w:p>
            <w:r>
              <w:t>Deterministic automated quote generation/issuance.</w:t>
            </w:r>
          </w:p>
        </w:tc>
      </w:tr>
      <w:tr>
        <w:tc>
          <w:tcPr>
            <w:tcW w:type="dxa" w:w="5256"/>
          </w:tcPr>
          <w:p>
            <w:r>
              <w:t>A4</w:t>
            </w:r>
          </w:p>
        </w:tc>
        <w:tc>
          <w:tcPr>
            <w:tcW w:type="dxa" w:w="5256"/>
          </w:tcPr>
          <w:p>
            <w:r>
              <w:t>Straight-through customer acceptance and payment.</w:t>
            </w:r>
          </w:p>
        </w:tc>
      </w:tr>
      <w:tr>
        <w:tc>
          <w:tcPr>
            <w:tcW w:type="dxa" w:w="5256"/>
          </w:tcPr>
          <w:p>
            <w:r>
              <w:t>A5</w:t>
            </w:r>
          </w:p>
        </w:tc>
        <w:tc>
          <w:tcPr>
            <w:tcW w:type="dxa" w:w="5256"/>
          </w:tcPr>
          <w:p>
            <w:r>
              <w:t>Selective straight-through operational fulfilment.</w:t>
            </w:r>
          </w:p>
        </w:tc>
      </w:tr>
    </w:tbl>
    <w:p>
      <w:r>
        <w:t>A4 is the broad target. A5 is enabled selectively by service/workflow configuration.</w:t>
      </w:r>
    </w:p>
    <w:p>
      <w:pPr>
        <w:pStyle w:val="Heading1"/>
      </w:pPr>
      <w:r>
        <w:t>4. Core backend domains</w:t>
      </w:r>
    </w:p>
    <w:tbl>
      <w:tblPr>
        <w:tblStyle w:val="TableGrid"/>
        <w:tblW w:type="auto" w:w="0"/>
        <w:tblLook w:firstColumn="1" w:firstRow="1" w:lastColumn="0" w:lastRow="0" w:noHBand="0" w:noVBand="1" w:val="04A0"/>
      </w:tblPr>
      <w:tblGrid>
        <w:gridCol w:w="5256"/>
        <w:gridCol w:w="5256"/>
      </w:tblGrid>
      <w:tr>
        <w:tc>
          <w:tcPr>
            <w:tcW w:type="dxa" w:w="5256"/>
          </w:tcPr>
          <w:p>
            <w:r>
              <w:t>Domain</w:t>
            </w:r>
          </w:p>
        </w:tc>
        <w:tc>
          <w:tcPr>
            <w:tcW w:type="dxa" w:w="5256"/>
          </w:tcPr>
          <w:p>
            <w:r>
              <w:t>New/expanded responsibility</w:t>
            </w:r>
          </w:p>
        </w:tc>
      </w:tr>
      <w:tr>
        <w:tc>
          <w:tcPr>
            <w:tcW w:type="dxa" w:w="5256"/>
          </w:tcPr>
          <w:p>
            <w:r>
              <w:t>AI Orchestration</w:t>
            </w:r>
          </w:p>
        </w:tc>
        <w:tc>
          <w:tcPr>
            <w:tcW w:type="dxa" w:w="5256"/>
          </w:tcPr>
          <w:p>
            <w:r>
              <w:t>Typed AI actions, structured outputs, tool authorization and audit.</w:t>
            </w:r>
          </w:p>
        </w:tc>
      </w:tr>
      <w:tr>
        <w:tc>
          <w:tcPr>
            <w:tcW w:type="dxa" w:w="5256"/>
          </w:tcPr>
          <w:p>
            <w:r>
              <w:t>Automation Eligibility</w:t>
            </w:r>
          </w:p>
        </w:tc>
        <w:tc>
          <w:tcPr>
            <w:tcW w:type="dxa" w:w="5256"/>
          </w:tcPr>
          <w:p>
            <w:r>
              <w:t>Deterministic decision whether request may proceed automatically.</w:t>
            </w:r>
          </w:p>
        </w:tc>
      </w:tr>
      <w:tr>
        <w:tc>
          <w:tcPr>
            <w:tcW w:type="dxa" w:w="5256"/>
          </w:tcPr>
          <w:p>
            <w:r>
              <w:t>Service Catalog</w:t>
            </w:r>
          </w:p>
        </w:tc>
        <w:tc>
          <w:tcPr>
            <w:tcW w:type="dxa" w:w="5256"/>
          </w:tcPr>
          <w:p>
            <w:r>
              <w:t>Automation capability/configuration by service/task.</w:t>
            </w:r>
          </w:p>
        </w:tc>
      </w:tr>
      <w:tr>
        <w:tc>
          <w:tcPr>
            <w:tcW w:type="dxa" w:w="5256"/>
          </w:tcPr>
          <w:p>
            <w:r>
              <w:t>Scope Engine</w:t>
            </w:r>
          </w:p>
        </w:tc>
        <w:tc>
          <w:tcPr>
            <w:tcW w:type="dxa" w:w="5256"/>
          </w:tcPr>
          <w:p>
            <w:r>
              <w:t>Structured scope generation/validation/versioning.</w:t>
            </w:r>
          </w:p>
        </w:tc>
      </w:tr>
      <w:tr>
        <w:tc>
          <w:tcPr>
            <w:tcW w:type="dxa" w:w="5256"/>
          </w:tcPr>
          <w:p>
            <w:r>
              <w:t>Pricing Engine</w:t>
            </w:r>
          </w:p>
        </w:tc>
        <w:tc>
          <w:tcPr>
            <w:tcW w:type="dxa" w:w="5256"/>
          </w:tcPr>
          <w:p>
            <w:r>
              <w:t>Base prices, units, multipliers, external costs, taxes and discounts.</w:t>
            </w:r>
          </w:p>
        </w:tc>
      </w:tr>
      <w:tr>
        <w:tc>
          <w:tcPr>
            <w:tcW w:type="dxa" w:w="5256"/>
          </w:tcPr>
          <w:p>
            <w:r>
              <w:t>Case Service</w:t>
            </w:r>
          </w:p>
        </w:tc>
        <w:tc>
          <w:tcPr>
            <w:tcW w:type="dxa" w:w="5256"/>
          </w:tcPr>
          <w:p>
            <w:r>
              <w:t>Idempotent automated case creation.</w:t>
            </w:r>
          </w:p>
        </w:tc>
      </w:tr>
      <w:tr>
        <w:tc>
          <w:tcPr>
            <w:tcW w:type="dxa" w:w="5256"/>
          </w:tcPr>
          <w:p>
            <w:r>
              <w:t>Quote Service</w:t>
            </w:r>
          </w:p>
        </w:tc>
        <w:tc>
          <w:tcPr>
            <w:tcW w:type="dxa" w:w="5256"/>
          </w:tcPr>
          <w:p>
            <w:r>
              <w:t>Quote calculation, versioning, validity and issuance.</w:t>
            </w:r>
          </w:p>
        </w:tc>
      </w:tr>
      <w:tr>
        <w:tc>
          <w:tcPr>
            <w:tcW w:type="dxa" w:w="5256"/>
          </w:tcPr>
          <w:p>
            <w:r>
              <w:t>Payment Service</w:t>
            </w:r>
          </w:p>
        </w:tc>
        <w:tc>
          <w:tcPr>
            <w:tcW w:type="dxa" w:w="5256"/>
          </w:tcPr>
          <w:p>
            <w:r>
              <w:t>Authenticated payment initiation and provider confirmation.</w:t>
            </w:r>
          </w:p>
        </w:tc>
      </w:tr>
      <w:tr>
        <w:tc>
          <w:tcPr>
            <w:tcW w:type="dxa" w:w="5256"/>
          </w:tcPr>
          <w:p>
            <w:r>
              <w:t>Escalation</w:t>
            </w:r>
          </w:p>
        </w:tc>
        <w:tc>
          <w:tcPr>
            <w:tcW w:type="dxa" w:w="5256"/>
          </w:tcPr>
          <w:p>
            <w:r>
              <w:t>First-class human-review state and handoff package.</w:t>
            </w:r>
          </w:p>
        </w:tc>
      </w:tr>
      <w:tr>
        <w:tc>
          <w:tcPr>
            <w:tcW w:type="dxa" w:w="5256"/>
          </w:tcPr>
          <w:p>
            <w:r>
              <w:t>Execution</w:t>
            </w:r>
          </w:p>
        </w:tc>
        <w:tc>
          <w:tcPr>
            <w:tcW w:type="dxa" w:w="5256"/>
          </w:tcPr>
          <w:p>
            <w:r>
              <w:t>Workflow triggered only after required conditions are satisfied.</w:t>
            </w:r>
          </w:p>
        </w:tc>
      </w:tr>
    </w:tbl>
    <w:p>
      <w:pPr>
        <w:pStyle w:val="Heading1"/>
      </w:pPr>
      <w:r>
        <w:t>5. Six locked services</w:t>
      </w:r>
    </w:p>
    <w:tbl>
      <w:tblPr>
        <w:tblStyle w:val="TableGrid"/>
        <w:tblW w:type="auto" w:w="0"/>
        <w:tblLook w:firstColumn="1" w:firstRow="1" w:lastColumn="0" w:lastRow="0" w:noHBand="0" w:noVBand="1" w:val="04A0"/>
      </w:tblPr>
      <w:tblGrid>
        <w:gridCol w:w="5256"/>
        <w:gridCol w:w="5256"/>
      </w:tblGrid>
      <w:tr>
        <w:tc>
          <w:tcPr>
            <w:tcW w:type="dxa" w:w="5256"/>
          </w:tcPr>
          <w:p>
            <w:r>
              <w:t>Key</w:t>
            </w:r>
          </w:p>
        </w:tc>
        <w:tc>
          <w:tcPr>
            <w:tcW w:type="dxa" w:w="5256"/>
          </w:tcPr>
          <w:p>
            <w:r>
              <w:t>Service</w:t>
            </w:r>
          </w:p>
        </w:tc>
      </w:tr>
      <w:tr>
        <w:tc>
          <w:tcPr>
            <w:tcW w:type="dxa" w:w="5256"/>
          </w:tcPr>
          <w:p>
            <w:r>
              <w:t>ARRIVALS</w:t>
            </w:r>
          </w:p>
        </w:tc>
        <w:tc>
          <w:tcPr>
            <w:tcW w:type="dxa" w:w="5256"/>
          </w:tcPr>
          <w:p>
            <w:r>
              <w:t>ASOJU Arrivals</w:t>
            </w:r>
          </w:p>
        </w:tc>
      </w:tr>
      <w:tr>
        <w:tc>
          <w:tcPr>
            <w:tcW w:type="dxa" w:w="5256"/>
          </w:tcPr>
          <w:p>
            <w:r>
              <w:t>INSPECT</w:t>
            </w:r>
          </w:p>
        </w:tc>
        <w:tc>
          <w:tcPr>
            <w:tcW w:type="dxa" w:w="5256"/>
          </w:tcPr>
          <w:p>
            <w:r>
              <w:t>ASOJU Inspect</w:t>
            </w:r>
          </w:p>
        </w:tc>
      </w:tr>
      <w:tr>
        <w:tc>
          <w:tcPr>
            <w:tcW w:type="dxa" w:w="5256"/>
          </w:tcPr>
          <w:p>
            <w:r>
              <w:t>BUILD</w:t>
            </w:r>
          </w:p>
        </w:tc>
        <w:tc>
          <w:tcPr>
            <w:tcW w:type="dxa" w:w="5256"/>
          </w:tcPr>
          <w:p>
            <w:r>
              <w:t>ASOJU Build</w:t>
            </w:r>
          </w:p>
        </w:tc>
      </w:tr>
      <w:tr>
        <w:tc>
          <w:tcPr>
            <w:tcW w:type="dxa" w:w="5256"/>
          </w:tcPr>
          <w:p>
            <w:r>
              <w:t>CARE</w:t>
            </w:r>
          </w:p>
        </w:tc>
        <w:tc>
          <w:tcPr>
            <w:tcW w:type="dxa" w:w="5256"/>
          </w:tcPr>
          <w:p>
            <w:r>
              <w:t>ASOJU Care</w:t>
            </w:r>
          </w:p>
        </w:tc>
      </w:tr>
      <w:tr>
        <w:tc>
          <w:tcPr>
            <w:tcW w:type="dxa" w:w="5256"/>
          </w:tcPr>
          <w:p>
            <w:r>
              <w:t>VERIFY</w:t>
            </w:r>
          </w:p>
        </w:tc>
        <w:tc>
          <w:tcPr>
            <w:tcW w:type="dxa" w:w="5256"/>
          </w:tcPr>
          <w:p>
            <w:r>
              <w:t>ASOJU Verify</w:t>
            </w:r>
          </w:p>
        </w:tc>
      </w:tr>
      <w:tr>
        <w:tc>
          <w:tcPr>
            <w:tcW w:type="dxa" w:w="5256"/>
          </w:tcPr>
          <w:p>
            <w:r>
              <w:t>ASSIST</w:t>
            </w:r>
          </w:p>
        </w:tc>
        <w:tc>
          <w:tcPr>
            <w:tcW w:type="dxa" w:w="5256"/>
          </w:tcPr>
          <w:p>
            <w:r>
              <w:t>ASOJU Assist</w:t>
            </w:r>
          </w:p>
        </w:tc>
      </w:tr>
    </w:tbl>
    <w:p>
      <w:r>
        <w:t>Farewell remains excluded from the public service architecture. Automation eligibility is configuration-driven per service and workflow.</w:t>
      </w:r>
    </w:p>
    <w:p>
      <w:pPr>
        <w:pStyle w:val="Heading1"/>
      </w:pPr>
      <w:r>
        <w:t>6. Automation Eligibility Decision</w:t>
      </w:r>
    </w:p>
    <w:p>
      <w:r>
        <w:t>Before automated case creation or quote issuance, the backend must calculate an explicit eligibility decision.</w:t>
      </w:r>
    </w:p>
    <w:tbl>
      <w:tblPr>
        <w:tblStyle w:val="TableGrid"/>
        <w:tblW w:type="auto" w:w="0"/>
        <w:tblLook w:firstColumn="1" w:firstRow="1" w:lastColumn="0" w:lastRow="0" w:noHBand="0" w:noVBand="1" w:val="04A0"/>
      </w:tblPr>
      <w:tblGrid>
        <w:gridCol w:w="5256"/>
        <w:gridCol w:w="5256"/>
      </w:tblGrid>
      <w:tr>
        <w:tc>
          <w:tcPr>
            <w:tcW w:type="dxa" w:w="5256"/>
          </w:tcPr>
          <w:p>
            <w:r>
              <w:t>Decision</w:t>
            </w:r>
          </w:p>
        </w:tc>
        <w:tc>
          <w:tcPr>
            <w:tcW w:type="dxa" w:w="5256"/>
          </w:tcPr>
          <w:p>
            <w:r>
              <w:t>Meaning</w:t>
            </w:r>
          </w:p>
        </w:tc>
      </w:tr>
      <w:tr>
        <w:tc>
          <w:tcPr>
            <w:tcW w:type="dxa" w:w="5256"/>
          </w:tcPr>
          <w:p>
            <w:r>
              <w:t>AUTO</w:t>
            </w:r>
          </w:p>
        </w:tc>
        <w:tc>
          <w:tcPr>
            <w:tcW w:type="dxa" w:w="5256"/>
          </w:tcPr>
          <w:p>
            <w:r>
              <w:t>All required conditions pass; automated flow may continue.</w:t>
            </w:r>
          </w:p>
        </w:tc>
      </w:tr>
      <w:tr>
        <w:tc>
          <w:tcPr>
            <w:tcW w:type="dxa" w:w="5256"/>
          </w:tcPr>
          <w:p>
            <w:r>
              <w:t>CUSTOMER_INPUT</w:t>
            </w:r>
          </w:p>
        </w:tc>
        <w:tc>
          <w:tcPr>
            <w:tcW w:type="dxa" w:w="5256"/>
          </w:tcPr>
          <w:p>
            <w:r>
              <w:t>Customer must supply missing information.</w:t>
            </w:r>
          </w:p>
        </w:tc>
      </w:tr>
      <w:tr>
        <w:tc>
          <w:tcPr>
            <w:tcW w:type="dxa" w:w="5256"/>
          </w:tcPr>
          <w:p>
            <w:r>
              <w:t>ESCALATE</w:t>
            </w:r>
          </w:p>
        </w:tc>
        <w:tc>
          <w:tcPr>
            <w:tcW w:type="dxa" w:w="5256"/>
          </w:tcPr>
          <w:p>
            <w:r>
              <w:t>Human/operations review is required.</w:t>
            </w:r>
          </w:p>
        </w:tc>
      </w:tr>
      <w:tr>
        <w:tc>
          <w:tcPr>
            <w:tcW w:type="dxa" w:w="5256"/>
          </w:tcPr>
          <w:p>
            <w:r>
              <w:t>UNSUPPORTED</w:t>
            </w:r>
          </w:p>
        </w:tc>
        <w:tc>
          <w:tcPr>
            <w:tcW w:type="dxa" w:w="5256"/>
          </w:tcPr>
          <w:p>
            <w:r>
              <w:t>ASOJU does not support the request as currently defined.</w:t>
            </w:r>
          </w:p>
        </w:tc>
      </w:tr>
      <w:tr>
        <w:tc>
          <w:tcPr>
            <w:tcW w:type="dxa" w:w="5256"/>
          </w:tcPr>
          <w:p>
            <w:r>
              <w:t>BLOCKED</w:t>
            </w:r>
          </w:p>
        </w:tc>
        <w:tc>
          <w:tcPr>
            <w:tcW w:type="dxa" w:w="5256"/>
          </w:tcPr>
          <w:p>
            <w:r>
              <w:t>Policy, authorization, availability or system constraint prevents automation.</w:t>
            </w:r>
          </w:p>
        </w:tc>
      </w:tr>
    </w:tbl>
    <w:p>
      <w:pPr>
        <w:pStyle w:val="Heading1"/>
      </w:pPr>
      <w:r>
        <w:t>7. Eligibility rules</w:t>
      </w:r>
    </w:p>
    <w:p>
      <w:pPr>
        <w:pStyle w:val="ListBullet"/>
      </w:pPr>
      <w:r>
        <w:t>Service is active.</w:t>
      </w:r>
    </w:p>
    <w:p>
      <w:pPr>
        <w:pStyle w:val="ListBullet"/>
      </w:pPr>
      <w:r>
        <w:t>Requested task is supported by the service configuration.</w:t>
      </w:r>
    </w:p>
    <w:p>
      <w:pPr>
        <w:pStyle w:val="ListBullet"/>
      </w:pPr>
      <w:r>
        <w:t>Coverage/location requirements pass.</w:t>
      </w:r>
    </w:p>
    <w:p>
      <w:pPr>
        <w:pStyle w:val="ListBullet"/>
      </w:pPr>
      <w:r>
        <w:t>Required information is complete.</w:t>
      </w:r>
    </w:p>
    <w:p>
      <w:pPr>
        <w:pStyle w:val="ListBullet"/>
      </w:pPr>
      <w:r>
        <w:t>Scope is representable by supported structured fields.</w:t>
      </w:r>
    </w:p>
    <w:p>
      <w:pPr>
        <w:pStyle w:val="ListBullet"/>
      </w:pPr>
      <w:r>
        <w:t>Required pricing inputs are available.</w:t>
      </w:r>
    </w:p>
    <w:p>
      <w:pPr>
        <w:pStyle w:val="ListBullet"/>
      </w:pPr>
      <w:r>
        <w:t>External/provider prices are available when required.</w:t>
      </w:r>
    </w:p>
    <w:p>
      <w:pPr>
        <w:pStyle w:val="ListBullet"/>
      </w:pPr>
      <w:r>
        <w:t>No escalation rule is triggered.</w:t>
      </w:r>
    </w:p>
    <w:p>
      <w:pPr>
        <w:pStyle w:val="ListBullet"/>
      </w:pPr>
      <w:r>
        <w:t>Customer is authenticated before formal case creation and payment.</w:t>
      </w:r>
    </w:p>
    <w:p>
      <w:pPr>
        <w:pStyle w:val="ListBullet"/>
      </w:pPr>
      <w:r>
        <w:t>Risk/compliance policy permits automation.</w:t>
      </w:r>
    </w:p>
    <w:p>
      <w:pPr>
        <w:pStyle w:val="ListBullet"/>
      </w:pPr>
      <w:r>
        <w:t>Provider/inventory/availability checks pass where required.</w:t>
      </w:r>
    </w:p>
    <w:p>
      <w:pPr>
        <w:pStyle w:val="ListBullet"/>
      </w:pPr>
      <w:r>
        <w:t>Quote can be calculated deterministically.</w:t>
      </w:r>
    </w:p>
    <w:p>
      <w:pPr>
        <w:pStyle w:val="Heading1"/>
      </w:pPr>
      <w:r>
        <w:t>8. Eligibility data model</w:t>
      </w:r>
    </w:p>
    <w:tbl>
      <w:tblPr>
        <w:tblStyle w:val="TableGrid"/>
        <w:tblW w:type="auto" w:w="0"/>
        <w:tblLook w:firstColumn="1" w:firstRow="1" w:lastColumn="0" w:lastRow="0" w:noHBand="0" w:noVBand="1" w:val="04A0"/>
      </w:tblPr>
      <w:tblGrid>
        <w:gridCol w:w="5256"/>
        <w:gridCol w:w="5256"/>
      </w:tblGrid>
      <w:tr>
        <w:tc>
          <w:tcPr>
            <w:tcW w:type="dxa" w:w="5256"/>
          </w:tcPr>
          <w:p>
            <w:r>
              <w:t>Logical entity</w:t>
            </w:r>
          </w:p>
        </w:tc>
        <w:tc>
          <w:tcPr>
            <w:tcW w:type="dxa" w:w="5256"/>
          </w:tcPr>
          <w:p>
            <w:r>
              <w:t>Fields</w:t>
            </w:r>
          </w:p>
        </w:tc>
      </w:tr>
      <w:tr>
        <w:tc>
          <w:tcPr>
            <w:tcW w:type="dxa" w:w="5256"/>
          </w:tcPr>
          <w:p>
            <w:r>
              <w:t>AutomationDecision</w:t>
            </w:r>
          </w:p>
        </w:tc>
        <w:tc>
          <w:tcPr>
            <w:tcW w:type="dxa" w:w="5256"/>
          </w:tcPr>
          <w:p>
            <w:r>
              <w:t>decision_id, case/request reference, decision, reason_category, rule_version, configuration_version, created_at.</w:t>
            </w:r>
          </w:p>
        </w:tc>
      </w:tr>
      <w:tr>
        <w:tc>
          <w:tcPr>
            <w:tcW w:type="dxa" w:w="5256"/>
          </w:tcPr>
          <w:p>
            <w:r>
              <w:t>AutomationRule</w:t>
            </w:r>
          </w:p>
        </w:tc>
        <w:tc>
          <w:tcPr>
            <w:tcW w:type="dxa" w:w="5256"/>
          </w:tcPr>
          <w:p>
            <w:r>
              <w:t>rule_id, service/workflow, active, priority, conditions, decision, effective dates, version.</w:t>
            </w:r>
          </w:p>
        </w:tc>
      </w:tr>
      <w:tr>
        <w:tc>
          <w:tcPr>
            <w:tcW w:type="dxa" w:w="5256"/>
          </w:tcPr>
          <w:p>
            <w:r>
              <w:t>AutomationCapability</w:t>
            </w:r>
          </w:p>
        </w:tc>
        <w:tc>
          <w:tcPr>
            <w:tcW w:type="dxa" w:w="5256"/>
          </w:tcPr>
          <w:p>
            <w:r>
              <w:t>service/task, automation_level, enabled, prerequisites, effective dates.</w:t>
            </w:r>
          </w:p>
        </w:tc>
      </w:tr>
    </w:tbl>
    <w:p>
      <w:r>
        <w:t>Internal reasons/rule details must not be exposed directly to customers. Provide a customer-safe escalation category/message.</w:t>
      </w:r>
    </w:p>
    <w:p>
      <w:pPr>
        <w:pStyle w:val="Heading1"/>
      </w:pPr>
      <w:r>
        <w:t>9. Escalation as a first-class domain state</w:t>
      </w:r>
    </w:p>
    <w:tbl>
      <w:tblPr>
        <w:tblStyle w:val="TableGrid"/>
        <w:tblW w:type="auto" w:w="0"/>
        <w:tblLook w:firstColumn="1" w:firstRow="1" w:lastColumn="0" w:lastRow="0" w:noHBand="0" w:noVBand="1" w:val="04A0"/>
      </w:tblPr>
      <w:tblGrid>
        <w:gridCol w:w="5256"/>
        <w:gridCol w:w="5256"/>
      </w:tblGrid>
      <w:tr>
        <w:tc>
          <w:tcPr>
            <w:tcW w:type="dxa" w:w="5256"/>
          </w:tcPr>
          <w:p>
            <w:r>
              <w:t>Field</w:t>
            </w:r>
          </w:p>
        </w:tc>
        <w:tc>
          <w:tcPr>
            <w:tcW w:type="dxa" w:w="5256"/>
          </w:tcPr>
          <w:p>
            <w:r>
              <w:t>Purpose</w:t>
            </w:r>
          </w:p>
        </w:tc>
      </w:tr>
      <w:tr>
        <w:tc>
          <w:tcPr>
            <w:tcW w:type="dxa" w:w="5256"/>
          </w:tcPr>
          <w:p>
            <w:r>
              <w:t>escalation_id</w:t>
            </w:r>
          </w:p>
        </w:tc>
        <w:tc>
          <w:tcPr>
            <w:tcW w:type="dxa" w:w="5256"/>
          </w:tcPr>
          <w:p>
            <w:r>
              <w:t>Stable escalation reference.</w:t>
            </w:r>
          </w:p>
        </w:tc>
      </w:tr>
      <w:tr>
        <w:tc>
          <w:tcPr>
            <w:tcW w:type="dxa" w:w="5256"/>
          </w:tcPr>
          <w:p>
            <w:r>
              <w:t>case/request_id</w:t>
            </w:r>
          </w:p>
        </w:tc>
        <w:tc>
          <w:tcPr>
            <w:tcW w:type="dxa" w:w="5256"/>
          </w:tcPr>
          <w:p>
            <w:r>
              <w:t>Related transaction.</w:t>
            </w:r>
          </w:p>
        </w:tc>
      </w:tr>
      <w:tr>
        <w:tc>
          <w:tcPr>
            <w:tcW w:type="dxa" w:w="5256"/>
          </w:tcPr>
          <w:p>
            <w:r>
              <w:t>reason_category</w:t>
            </w:r>
          </w:p>
        </w:tc>
        <w:tc>
          <w:tcPr>
            <w:tcW w:type="dxa" w:w="5256"/>
          </w:tcPr>
          <w:p>
            <w:r>
              <w:t>Customer-safe reason category.</w:t>
            </w:r>
          </w:p>
        </w:tc>
      </w:tr>
      <w:tr>
        <w:tc>
          <w:tcPr>
            <w:tcW w:type="dxa" w:w="5256"/>
          </w:tcPr>
          <w:p>
            <w:r>
              <w:t>internal_reason</w:t>
            </w:r>
          </w:p>
        </w:tc>
        <w:tc>
          <w:tcPr>
            <w:tcW w:type="dxa" w:w="5256"/>
          </w:tcPr>
          <w:p>
            <w:r>
              <w:t>Restricted operational reason.</w:t>
            </w:r>
          </w:p>
        </w:tc>
      </w:tr>
      <w:tr>
        <w:tc>
          <w:tcPr>
            <w:tcW w:type="dxa" w:w="5256"/>
          </w:tcPr>
          <w:p>
            <w:r>
              <w:t>status</w:t>
            </w:r>
          </w:p>
        </w:tc>
        <w:tc>
          <w:tcPr>
            <w:tcW w:type="dxa" w:w="5256"/>
          </w:tcPr>
          <w:p>
            <w:r>
              <w:t>Required/reviewing/resolved/cancelled or actual configured states.</w:t>
            </w:r>
          </w:p>
        </w:tc>
      </w:tr>
      <w:tr>
        <w:tc>
          <w:tcPr>
            <w:tcW w:type="dxa" w:w="5256"/>
          </w:tcPr>
          <w:p>
            <w:r>
              <w:t>handoff_summary</w:t>
            </w:r>
          </w:p>
        </w:tc>
        <w:tc>
          <w:tcPr>
            <w:tcW w:type="dxa" w:w="5256"/>
          </w:tcPr>
          <w:p>
            <w:r>
              <w:t>Structured staff-ready summary.</w:t>
            </w:r>
          </w:p>
        </w:tc>
      </w:tr>
      <w:tr>
        <w:tc>
          <w:tcPr>
            <w:tcW w:type="dxa" w:w="5256"/>
          </w:tcPr>
          <w:p>
            <w:r>
              <w:t>assigned_to</w:t>
            </w:r>
          </w:p>
        </w:tc>
        <w:tc>
          <w:tcPr>
            <w:tcW w:type="dxa" w:w="5256"/>
          </w:tcPr>
          <w:p>
            <w:r>
              <w:t>Operations reviewer where assigned.</w:t>
            </w:r>
          </w:p>
        </w:tc>
      </w:tr>
      <w:tr>
        <w:tc>
          <w:tcPr>
            <w:tcW w:type="dxa" w:w="5256"/>
          </w:tcPr>
          <w:p>
            <w:r>
              <w:t>customer_message</w:t>
            </w:r>
          </w:p>
        </w:tc>
        <w:tc>
          <w:tcPr>
            <w:tcW w:type="dxa" w:w="5256"/>
          </w:tcPr>
          <w:p>
            <w:r>
              <w:t>Approved customer-facing explanation.</w:t>
            </w:r>
          </w:p>
        </w:tc>
      </w:tr>
      <w:tr>
        <w:tc>
          <w:tcPr>
            <w:tcW w:type="dxa" w:w="5256"/>
          </w:tcPr>
          <w:p>
            <w:r>
              <w:t>created_at/updated_at</w:t>
            </w:r>
          </w:p>
        </w:tc>
        <w:tc>
          <w:tcPr>
            <w:tcW w:type="dxa" w:w="5256"/>
          </w:tcPr>
          <w:p>
            <w:r>
              <w:t>Lifecycle.</w:t>
            </w:r>
          </w:p>
        </w:tc>
      </w:tr>
    </w:tbl>
    <w:p>
      <w:r>
        <w:t>An escalation is not merely an AI response. It must be persisted and routed into the operations workspace.</w:t>
      </w:r>
    </w:p>
    <w:p>
      <w:pPr>
        <w:pStyle w:val="Heading1"/>
      </w:pPr>
      <w:r>
        <w:t>10. Automated case creation API capability</w:t>
      </w:r>
    </w:p>
    <w:p>
      <w:r>
        <w:t>Logical operation: CreateCaseFromStructuredRequest.</w:t>
      </w:r>
    </w:p>
    <w:p>
      <w:pPr>
        <w:pStyle w:val="ListBullet"/>
      </w:pPr>
      <w:r>
        <w:t>Require authenticated customer.</w:t>
      </w:r>
    </w:p>
    <w:p>
      <w:pPr>
        <w:pStyle w:val="ListBullet"/>
      </w:pPr>
      <w:r>
        <w:t>Validate request ownership/context.</w:t>
      </w:r>
    </w:p>
    <w:p>
      <w:pPr>
        <w:pStyle w:val="ListBullet"/>
      </w:pPr>
      <w:r>
        <w:t>Validate service.</w:t>
      </w:r>
    </w:p>
    <w:p>
      <w:pPr>
        <w:pStyle w:val="ListBullet"/>
      </w:pPr>
      <w:r>
        <w:t>Validate structured scope.</w:t>
      </w:r>
    </w:p>
    <w:p>
      <w:pPr>
        <w:pStyle w:val="ListBullet"/>
      </w:pPr>
      <w:r>
        <w:t>Re-run automation eligibility at execution time.</w:t>
      </w:r>
    </w:p>
    <w:p>
      <w:pPr>
        <w:pStyle w:val="ListBullet"/>
      </w:pPr>
      <w:r>
        <w:t>Require AUTO decision.</w:t>
      </w:r>
    </w:p>
    <w:p>
      <w:pPr>
        <w:pStyle w:val="ListBullet"/>
      </w:pPr>
      <w:r>
        <w:t>Apply idempotency key.</w:t>
      </w:r>
    </w:p>
    <w:p>
      <w:pPr>
        <w:pStyle w:val="ListBullet"/>
      </w:pPr>
      <w:r>
        <w:t>Create case and initial confirmed scope atomically where practical.</w:t>
      </w:r>
    </w:p>
    <w:p>
      <w:pPr>
        <w:pStyle w:val="ListBullet"/>
      </w:pPr>
      <w:r>
        <w:t>Persist automation decision reference.</w:t>
      </w:r>
    </w:p>
    <w:p>
      <w:pPr>
        <w:pStyle w:val="ListBullet"/>
      </w:pPr>
      <w:r>
        <w:t>Return authoritative case reference/state.</w:t>
      </w:r>
    </w:p>
    <w:p>
      <w:r>
        <w:t>The AI must never write directly to database tables.</w:t>
      </w:r>
    </w:p>
    <w:p>
      <w:pPr>
        <w:pStyle w:val="Heading1"/>
      </w:pPr>
      <w:r>
        <w:t>11. Case creation idempotency</w:t>
      </w:r>
    </w:p>
    <w:p>
      <w:pPr>
        <w:pStyle w:val="ListBullet"/>
      </w:pPr>
      <w:r>
        <w:t>Require an idempotency key for automated case creation.</w:t>
      </w:r>
    </w:p>
    <w:p>
      <w:pPr>
        <w:pStyle w:val="ListBullet"/>
      </w:pPr>
      <w:r>
        <w:t>Repeated calls with the same key return the original result.</w:t>
      </w:r>
    </w:p>
    <w:p>
      <w:pPr>
        <w:pStyle w:val="ListBullet"/>
      </w:pPr>
      <w:r>
        <w:t>Timeouts require reconciliation before retry.</w:t>
      </w:r>
    </w:p>
    <w:p>
      <w:pPr>
        <w:pStyle w:val="ListBullet"/>
      </w:pPr>
      <w:r>
        <w:t>Authentication retries must not create duplicates.</w:t>
      </w:r>
    </w:p>
    <w:p>
      <w:pPr>
        <w:pStyle w:val="ListBullet"/>
      </w:pPr>
      <w:r>
        <w:t>Persist idempotency record with operation/result reference.</w:t>
      </w:r>
    </w:p>
    <w:p>
      <w:pPr>
        <w:pStyle w:val="Heading1"/>
      </w:pPr>
      <w:r>
        <w:t>12. Scope engine</w:t>
      </w:r>
    </w:p>
    <w:p>
      <w:r>
        <w:t>The Scope Engine turns the structured request into an executable, priceable scope.</w:t>
      </w:r>
    </w:p>
    <w:tbl>
      <w:tblPr>
        <w:tblStyle w:val="TableGrid"/>
        <w:tblW w:type="auto" w:w="0"/>
        <w:tblLook w:firstColumn="1" w:firstRow="1" w:lastColumn="0" w:lastRow="0" w:noHBand="0" w:noVBand="1" w:val="04A0"/>
      </w:tblPr>
      <w:tblGrid>
        <w:gridCol w:w="5256"/>
        <w:gridCol w:w="5256"/>
      </w:tblGrid>
      <w:tr>
        <w:tc>
          <w:tcPr>
            <w:tcW w:type="dxa" w:w="5256"/>
          </w:tcPr>
          <w:p>
            <w:r>
              <w:t>Scope element</w:t>
            </w:r>
          </w:p>
        </w:tc>
        <w:tc>
          <w:tcPr>
            <w:tcW w:type="dxa" w:w="5256"/>
          </w:tcPr>
          <w:p>
            <w:r>
              <w:t>Backend requirement</w:t>
            </w:r>
          </w:p>
        </w:tc>
      </w:tr>
      <w:tr>
        <w:tc>
          <w:tcPr>
            <w:tcW w:type="dxa" w:w="5256"/>
          </w:tcPr>
          <w:p>
            <w:r>
              <w:t>Objective</w:t>
            </w:r>
          </w:p>
        </w:tc>
        <w:tc>
          <w:tcPr>
            <w:tcW w:type="dxa" w:w="5256"/>
          </w:tcPr>
          <w:p>
            <w:r>
              <w:t>Validated required field.</w:t>
            </w:r>
          </w:p>
        </w:tc>
      </w:tr>
      <w:tr>
        <w:tc>
          <w:tcPr>
            <w:tcW w:type="dxa" w:w="5256"/>
          </w:tcPr>
          <w:p>
            <w:r>
              <w:t>Service</w:t>
            </w:r>
          </w:p>
        </w:tc>
        <w:tc>
          <w:tcPr>
            <w:tcW w:type="dxa" w:w="5256"/>
          </w:tcPr>
          <w:p>
            <w:r>
              <w:t>Validated against service catalog.</w:t>
            </w:r>
          </w:p>
        </w:tc>
      </w:tr>
      <w:tr>
        <w:tc>
          <w:tcPr>
            <w:tcW w:type="dxa" w:w="5256"/>
          </w:tcPr>
          <w:p>
            <w:r>
              <w:t>Location</w:t>
            </w:r>
          </w:p>
        </w:tc>
        <w:tc>
          <w:tcPr>
            <w:tcW w:type="dxa" w:w="5256"/>
          </w:tcPr>
          <w:p>
            <w:r>
              <w:t>Coverage validation where relevant.</w:t>
            </w:r>
          </w:p>
        </w:tc>
      </w:tr>
      <w:tr>
        <w:tc>
          <w:tcPr>
            <w:tcW w:type="dxa" w:w="5256"/>
          </w:tcPr>
          <w:p>
            <w:r>
              <w:t>Timing</w:t>
            </w:r>
          </w:p>
        </w:tc>
        <w:tc>
          <w:tcPr>
            <w:tcW w:type="dxa" w:w="5256"/>
          </w:tcPr>
          <w:p>
            <w:r>
              <w:t>Normalized date/time requirements.</w:t>
            </w:r>
          </w:p>
        </w:tc>
      </w:tr>
      <w:tr>
        <w:tc>
          <w:tcPr>
            <w:tcW w:type="dxa" w:w="5256"/>
          </w:tcPr>
          <w:p>
            <w:r>
              <w:t>Inclusions</w:t>
            </w:r>
          </w:p>
        </w:tc>
        <w:tc>
          <w:tcPr>
            <w:tcW w:type="dxa" w:w="5256"/>
          </w:tcPr>
          <w:p>
            <w:r>
              <w:t>Generated from approved templates/request.</w:t>
            </w:r>
          </w:p>
        </w:tc>
      </w:tr>
      <w:tr>
        <w:tc>
          <w:tcPr>
            <w:tcW w:type="dxa" w:w="5256"/>
          </w:tcPr>
          <w:p>
            <w:r>
              <w:t>Exclusions</w:t>
            </w:r>
          </w:p>
        </w:tc>
        <w:tc>
          <w:tcPr>
            <w:tcW w:type="dxa" w:w="5256"/>
          </w:tcPr>
          <w:p>
            <w:r>
              <w:t>Configured standard exclusions + exception flags.</w:t>
            </w:r>
          </w:p>
        </w:tc>
      </w:tr>
      <w:tr>
        <w:tc>
          <w:tcPr>
            <w:tcW w:type="dxa" w:w="5256"/>
          </w:tcPr>
          <w:p>
            <w:r>
              <w:t>Requirements</w:t>
            </w:r>
          </w:p>
        </w:tc>
        <w:tc>
          <w:tcPr>
            <w:tcW w:type="dxa" w:w="5256"/>
          </w:tcPr>
          <w:p>
            <w:r>
              <w:t>Required customer/provider inputs.</w:t>
            </w:r>
          </w:p>
        </w:tc>
      </w:tr>
      <w:tr>
        <w:tc>
          <w:tcPr>
            <w:tcW w:type="dxa" w:w="5256"/>
          </w:tcPr>
          <w:p>
            <w:r>
              <w:t>Checklist</w:t>
            </w:r>
          </w:p>
        </w:tc>
        <w:tc>
          <w:tcPr>
            <w:tcW w:type="dxa" w:w="5256"/>
          </w:tcPr>
          <w:p>
            <w:r>
              <w:t>Configured service checklist.</w:t>
            </w:r>
          </w:p>
        </w:tc>
      </w:tr>
      <w:tr>
        <w:tc>
          <w:tcPr>
            <w:tcW w:type="dxa" w:w="5256"/>
          </w:tcPr>
          <w:p>
            <w:r>
              <w:t>Special conditions</w:t>
            </w:r>
          </w:p>
        </w:tc>
        <w:tc>
          <w:tcPr>
            <w:tcW w:type="dxa" w:w="5256"/>
          </w:tcPr>
          <w:p>
            <w:r>
              <w:t>Triggers escalation when outside automation rules.</w:t>
            </w:r>
          </w:p>
        </w:tc>
      </w:tr>
    </w:tbl>
    <w:p>
      <w:r>
        <w:t>AI may generate/extract candidate scope content. Backend schema/policy validation determines what becomes authoritative.</w:t>
      </w:r>
    </w:p>
    <w:p>
      <w:pPr>
        <w:pStyle w:val="Heading1"/>
      </w:pPr>
      <w:r>
        <w:t>13. Pricing Engine</w:t>
      </w:r>
    </w:p>
    <w:p>
      <w:r>
        <w:t>The Pricing Engine is the sole authoritative calculator for automated quotes.</w:t>
      </w:r>
    </w:p>
    <w:tbl>
      <w:tblPr>
        <w:tblStyle w:val="TableGrid"/>
        <w:tblW w:type="auto" w:w="0"/>
        <w:tblLook w:firstColumn="1" w:firstRow="1" w:lastColumn="0" w:lastRow="0" w:noHBand="0" w:noVBand="1" w:val="04A0"/>
      </w:tblPr>
      <w:tblGrid>
        <w:gridCol w:w="5256"/>
        <w:gridCol w:w="5256"/>
      </w:tblGrid>
      <w:tr>
        <w:tc>
          <w:tcPr>
            <w:tcW w:type="dxa" w:w="5256"/>
          </w:tcPr>
          <w:p>
            <w:r>
              <w:t>Input</w:t>
            </w:r>
          </w:p>
        </w:tc>
        <w:tc>
          <w:tcPr>
            <w:tcW w:type="dxa" w:w="5256"/>
          </w:tcPr>
          <w:p>
            <w:r>
              <w:t>Role</w:t>
            </w:r>
          </w:p>
        </w:tc>
      </w:tr>
      <w:tr>
        <w:tc>
          <w:tcPr>
            <w:tcW w:type="dxa" w:w="5256"/>
          </w:tcPr>
          <w:p>
            <w:r>
              <w:t>Base price</w:t>
            </w:r>
          </w:p>
        </w:tc>
        <w:tc>
          <w:tcPr>
            <w:tcW w:type="dxa" w:w="5256"/>
          </w:tcPr>
          <w:p>
            <w:r>
              <w:t>Starting service/task price.</w:t>
            </w:r>
          </w:p>
        </w:tc>
      </w:tr>
      <w:tr>
        <w:tc>
          <w:tcPr>
            <w:tcW w:type="dxa" w:w="5256"/>
          </w:tcPr>
          <w:p>
            <w:r>
              <w:t>Unit price</w:t>
            </w:r>
          </w:p>
        </w:tc>
        <w:tc>
          <w:tcPr>
            <w:tcW w:type="dxa" w:w="5256"/>
          </w:tcPr>
          <w:p>
            <w:r>
              <w:t>Per unit where configured.</w:t>
            </w:r>
          </w:p>
        </w:tc>
      </w:tr>
      <w:tr>
        <w:tc>
          <w:tcPr>
            <w:tcW w:type="dxa" w:w="5256"/>
          </w:tcPr>
          <w:p>
            <w:r>
              <w:t>Quantity</w:t>
            </w:r>
          </w:p>
        </w:tc>
        <w:tc>
          <w:tcPr>
            <w:tcW w:type="dxa" w:w="5256"/>
          </w:tcPr>
          <w:p>
            <w:r>
              <w:t>Derived from confirmed scope.</w:t>
            </w:r>
          </w:p>
        </w:tc>
      </w:tr>
      <w:tr>
        <w:tc>
          <w:tcPr>
            <w:tcW w:type="dxa" w:w="5256"/>
          </w:tcPr>
          <w:p>
            <w:r>
              <w:t>Location multiplier</w:t>
            </w:r>
          </w:p>
        </w:tc>
        <w:tc>
          <w:tcPr>
            <w:tcW w:type="dxa" w:w="5256"/>
          </w:tcPr>
          <w:p>
            <w:r>
              <w:t>Configured geographic adjustment.</w:t>
            </w:r>
          </w:p>
        </w:tc>
      </w:tr>
      <w:tr>
        <w:tc>
          <w:tcPr>
            <w:tcW w:type="dxa" w:w="5256"/>
          </w:tcPr>
          <w:p>
            <w:r>
              <w:t>Urgency multiplier</w:t>
            </w:r>
          </w:p>
        </w:tc>
        <w:tc>
          <w:tcPr>
            <w:tcW w:type="dxa" w:w="5256"/>
          </w:tcPr>
          <w:p>
            <w:r>
              <w:t>Configured timing adjustment.</w:t>
            </w:r>
          </w:p>
        </w:tc>
      </w:tr>
      <w:tr>
        <w:tc>
          <w:tcPr>
            <w:tcW w:type="dxa" w:w="5256"/>
          </w:tcPr>
          <w:p>
            <w:r>
              <w:t>Complexity multiplier</w:t>
            </w:r>
          </w:p>
        </w:tc>
        <w:tc>
          <w:tcPr>
            <w:tcW w:type="dxa" w:w="5256"/>
          </w:tcPr>
          <w:p>
            <w:r>
              <w:t>Configured scope adjustment.</w:t>
            </w:r>
          </w:p>
        </w:tc>
      </w:tr>
      <w:tr>
        <w:tc>
          <w:tcPr>
            <w:tcW w:type="dxa" w:w="5256"/>
          </w:tcPr>
          <w:p>
            <w:r>
              <w:t>Weekend/holiday multiplier</w:t>
            </w:r>
          </w:p>
        </w:tc>
        <w:tc>
          <w:tcPr>
            <w:tcW w:type="dxa" w:w="5256"/>
          </w:tcPr>
          <w:p>
            <w:r>
              <w:t>Configured calendar adjustment.</w:t>
            </w:r>
          </w:p>
        </w:tc>
      </w:tr>
      <w:tr>
        <w:tc>
          <w:tcPr>
            <w:tcW w:type="dxa" w:w="5256"/>
          </w:tcPr>
          <w:p>
            <w:r>
              <w:t>External/provider cost</w:t>
            </w:r>
          </w:p>
        </w:tc>
        <w:tc>
          <w:tcPr>
            <w:tcW w:type="dxa" w:w="5256"/>
          </w:tcPr>
          <w:p>
            <w:r>
              <w:t>Approved external source.</w:t>
            </w:r>
          </w:p>
        </w:tc>
      </w:tr>
      <w:tr>
        <w:tc>
          <w:tcPr>
            <w:tcW w:type="dxa" w:w="5256"/>
          </w:tcPr>
          <w:p>
            <w:r>
              <w:t>Transport/accommodation cost</w:t>
            </w:r>
          </w:p>
        </w:tc>
        <w:tc>
          <w:tcPr>
            <w:tcW w:type="dxa" w:w="5256"/>
          </w:tcPr>
          <w:p>
            <w:r>
              <w:t>Approved configured or integrated cost.</w:t>
            </w:r>
          </w:p>
        </w:tc>
      </w:tr>
      <w:tr>
        <w:tc>
          <w:tcPr>
            <w:tcW w:type="dxa" w:w="5256"/>
          </w:tcPr>
          <w:p>
            <w:r>
              <w:t>Customer-specific price</w:t>
            </w:r>
          </w:p>
        </w:tc>
        <w:tc>
          <w:tcPr>
            <w:tcW w:type="dxa" w:w="5256"/>
          </w:tcPr>
          <w:p>
            <w:r>
              <w:t>Only through authorized configuration.</w:t>
            </w:r>
          </w:p>
        </w:tc>
      </w:tr>
      <w:tr>
        <w:tc>
          <w:tcPr>
            <w:tcW w:type="dxa" w:w="5256"/>
          </w:tcPr>
          <w:p>
            <w:r>
              <w:t>Tax</w:t>
            </w:r>
          </w:p>
        </w:tc>
        <w:tc>
          <w:tcPr>
            <w:tcW w:type="dxa" w:w="5256"/>
          </w:tcPr>
          <w:p>
            <w:r>
              <w:t>Configured tax calculation.</w:t>
            </w:r>
          </w:p>
        </w:tc>
      </w:tr>
      <w:tr>
        <w:tc>
          <w:tcPr>
            <w:tcW w:type="dxa" w:w="5256"/>
          </w:tcPr>
          <w:p>
            <w:r>
              <w:t>Discount</w:t>
            </w:r>
          </w:p>
        </w:tc>
        <w:tc>
          <w:tcPr>
            <w:tcW w:type="dxa" w:w="5256"/>
          </w:tcPr>
          <w:p>
            <w:r>
              <w:t>Approved promotion/membership/referral rule.</w:t>
            </w:r>
          </w:p>
        </w:tc>
      </w:tr>
    </w:tbl>
    <w:p>
      <w:pPr>
        <w:pStyle w:val="Heading1"/>
      </w:pPr>
      <w:r>
        <w:t>14. Pricing formula</w:t>
      </w:r>
    </w:p>
    <w:p>
      <w:r>
        <w:t>Logical formula: Subtotal = sum of applicable base/unit components × configured quantities/multipliers + approved external/provider costs. Total = Subtotal + applicable taxes − approved discounts.</w:t>
      </w:r>
    </w:p>
    <w:p>
      <w:r>
        <w:t>The exact calculation rules must be configuration-driven. AI cannot calculate or override the authoritative amount.</w:t>
      </w:r>
    </w:p>
    <w:p>
      <w:pPr>
        <w:pStyle w:val="Heading1"/>
      </w:pPr>
      <w:r>
        <w:t>15. Pricing source hierarchy</w:t>
      </w:r>
    </w:p>
    <w:tbl>
      <w:tblPr>
        <w:tblStyle w:val="TableGrid"/>
        <w:tblW w:type="auto" w:w="0"/>
        <w:tblLook w:firstColumn="1" w:firstRow="1" w:lastColumn="0" w:lastRow="0" w:noHBand="0" w:noVBand="1" w:val="04A0"/>
      </w:tblPr>
      <w:tblGrid>
        <w:gridCol w:w="5256"/>
        <w:gridCol w:w="5256"/>
      </w:tblGrid>
      <w:tr>
        <w:tc>
          <w:tcPr>
            <w:tcW w:type="dxa" w:w="5256"/>
          </w:tcPr>
          <w:p>
            <w:r>
              <w:t>Priority</w:t>
            </w:r>
          </w:p>
        </w:tc>
        <w:tc>
          <w:tcPr>
            <w:tcW w:type="dxa" w:w="5256"/>
          </w:tcPr>
          <w:p>
            <w:r>
              <w:t>Source</w:t>
            </w:r>
          </w:p>
        </w:tc>
      </w:tr>
      <w:tr>
        <w:tc>
          <w:tcPr>
            <w:tcW w:type="dxa" w:w="5256"/>
          </w:tcPr>
          <w:p>
            <w:r>
              <w:t>1</w:t>
            </w:r>
          </w:p>
        </w:tc>
        <w:tc>
          <w:tcPr>
            <w:tcW w:type="dxa" w:w="5256"/>
          </w:tcPr>
          <w:p>
            <w:r>
              <w:t>Active ASOJU price book/rule.</w:t>
            </w:r>
          </w:p>
        </w:tc>
      </w:tr>
      <w:tr>
        <w:tc>
          <w:tcPr>
            <w:tcW w:type="dxa" w:w="5256"/>
          </w:tcPr>
          <w:p>
            <w:r>
              <w:t>2</w:t>
            </w:r>
          </w:p>
        </w:tc>
        <w:tc>
          <w:tcPr>
            <w:tcW w:type="dxa" w:w="5256"/>
          </w:tcPr>
          <w:p>
            <w:r>
              <w:t>Approved real-time external/provider integration.</w:t>
            </w:r>
          </w:p>
        </w:tc>
      </w:tr>
      <w:tr>
        <w:tc>
          <w:tcPr>
            <w:tcW w:type="dxa" w:w="5256"/>
          </w:tcPr>
          <w:p>
            <w:r>
              <w:t>3</w:t>
            </w:r>
          </w:p>
        </w:tc>
        <w:tc>
          <w:tcPr>
            <w:tcW w:type="dxa" w:w="5256"/>
          </w:tcPr>
          <w:p>
            <w:r>
              <w:t>Approved static external-cost table.</w:t>
            </w:r>
          </w:p>
        </w:tc>
      </w:tr>
      <w:tr>
        <w:tc>
          <w:tcPr>
            <w:tcW w:type="dxa" w:w="5256"/>
          </w:tcPr>
          <w:p>
            <w:r>
              <w:t>4</w:t>
            </w:r>
          </w:p>
        </w:tc>
        <w:tc>
          <w:tcPr>
            <w:tcW w:type="dxa" w:w="5256"/>
          </w:tcPr>
          <w:p>
            <w:r>
              <w:t>Authorized manual operations override.</w:t>
            </w:r>
          </w:p>
        </w:tc>
      </w:tr>
      <w:tr>
        <w:tc>
          <w:tcPr>
            <w:tcW w:type="dxa" w:w="5256"/>
          </w:tcPr>
          <w:p>
            <w:r>
              <w:t>Never</w:t>
            </w:r>
          </w:p>
        </w:tc>
        <w:tc>
          <w:tcPr>
            <w:tcW w:type="dxa" w:w="5256"/>
          </w:tcPr>
          <w:p>
            <w:r>
              <w:t>AI guess/invention.</w:t>
            </w:r>
          </w:p>
        </w:tc>
      </w:tr>
    </w:tbl>
    <w:p>
      <w:r>
        <w:t>If a required price cannot be resolved from an approved source, the pricing service must return an escalation/blocking result rather than inventing a value.</w:t>
      </w:r>
    </w:p>
    <w:p>
      <w:pPr>
        <w:pStyle w:val="Heading1"/>
      </w:pPr>
      <w:r>
        <w:t>16. Pricing configuration model</w:t>
      </w:r>
    </w:p>
    <w:tbl>
      <w:tblPr>
        <w:tblStyle w:val="TableGrid"/>
        <w:tblW w:type="auto" w:w="0"/>
        <w:tblLook w:firstColumn="1" w:firstRow="1" w:lastColumn="0" w:lastRow="0" w:noHBand="0" w:noVBand="1" w:val="04A0"/>
      </w:tblPr>
      <w:tblGrid>
        <w:gridCol w:w="5256"/>
        <w:gridCol w:w="5256"/>
      </w:tblGrid>
      <w:tr>
        <w:tc>
          <w:tcPr>
            <w:tcW w:type="dxa" w:w="5256"/>
          </w:tcPr>
          <w:p>
            <w:r>
              <w:t>Entity</w:t>
            </w:r>
          </w:p>
        </w:tc>
        <w:tc>
          <w:tcPr>
            <w:tcW w:type="dxa" w:w="5256"/>
          </w:tcPr>
          <w:p>
            <w:r>
              <w:t>Logical fields</w:t>
            </w:r>
          </w:p>
        </w:tc>
      </w:tr>
      <w:tr>
        <w:tc>
          <w:tcPr>
            <w:tcW w:type="dxa" w:w="5256"/>
          </w:tcPr>
          <w:p>
            <w:r>
              <w:t>PriceBook</w:t>
            </w:r>
          </w:p>
        </w:tc>
        <w:tc>
          <w:tcPr>
            <w:tcW w:type="dxa" w:w="5256"/>
          </w:tcPr>
          <w:p>
            <w:r>
              <w:t>id, currency, version, active, effective_from/to.</w:t>
            </w:r>
          </w:p>
        </w:tc>
      </w:tr>
      <w:tr>
        <w:tc>
          <w:tcPr>
            <w:tcW w:type="dxa" w:w="5256"/>
          </w:tcPr>
          <w:p>
            <w:r>
              <w:t>PriceRule</w:t>
            </w:r>
          </w:p>
        </w:tc>
        <w:tc>
          <w:tcPr>
            <w:tcW w:type="dxa" w:w="5256"/>
          </w:tcPr>
          <w:p>
            <w:r>
              <w:t>id, price_book_id, service/task, condition_set, calculation_type, value, priority, active, effective dates.</w:t>
            </w:r>
          </w:p>
        </w:tc>
      </w:tr>
      <w:tr>
        <w:tc>
          <w:tcPr>
            <w:tcW w:type="dxa" w:w="5256"/>
          </w:tcPr>
          <w:p>
            <w:r>
              <w:t>MultiplierRule</w:t>
            </w:r>
          </w:p>
        </w:tc>
        <w:tc>
          <w:tcPr>
            <w:tcW w:type="dxa" w:w="5256"/>
          </w:tcPr>
          <w:p>
            <w:r>
              <w:t>id, type, condition_set, multiplier, min/max/cap/floor where configured.</w:t>
            </w:r>
          </w:p>
        </w:tc>
      </w:tr>
      <w:tr>
        <w:tc>
          <w:tcPr>
            <w:tcW w:type="dxa" w:w="5256"/>
          </w:tcPr>
          <w:p>
            <w:r>
              <w:t>ExternalCostRule</w:t>
            </w:r>
          </w:p>
        </w:tc>
        <w:tc>
          <w:tcPr>
            <w:tcW w:type="dxa" w:w="5256"/>
          </w:tcPr>
          <w:p>
            <w:r>
              <w:t>source/provider, retrieval method, validity, handling/markup configuration.</w:t>
            </w:r>
          </w:p>
        </w:tc>
      </w:tr>
      <w:tr>
        <w:tc>
          <w:tcPr>
            <w:tcW w:type="dxa" w:w="5256"/>
          </w:tcPr>
          <w:p>
            <w:r>
              <w:t>DiscountRule</w:t>
            </w:r>
          </w:p>
        </w:tc>
        <w:tc>
          <w:tcPr>
            <w:tcW w:type="dxa" w:w="5256"/>
          </w:tcPr>
          <w:p>
            <w:r>
              <w:t>eligibility, calculation, limits, effective dates.</w:t>
            </w:r>
          </w:p>
        </w:tc>
      </w:tr>
    </w:tbl>
    <w:p>
      <w:pPr>
        <w:pStyle w:val="Heading1"/>
      </w:pPr>
      <w:r>
        <w:t>17. Quote generation</w:t>
      </w:r>
    </w:p>
    <w:p>
      <w:r>
        <w:t>Confirmed scope version → resolve price book/rules → resolve external costs → apply multipliers → tax/discount → validate → create quote version → issue quote.</w:t>
      </w:r>
    </w:p>
    <w:p>
      <w:pPr>
        <w:pStyle w:val="ListBullet"/>
      </w:pPr>
      <w:r>
        <w:t>Quote references exact scope version.</w:t>
      </w:r>
    </w:p>
    <w:p>
      <w:pPr>
        <w:pStyle w:val="ListBullet"/>
      </w:pPr>
      <w:r>
        <w:t>Line items preserve traceable internal source/rule references.</w:t>
      </w:r>
    </w:p>
    <w:p>
      <w:pPr>
        <w:pStyle w:val="ListBullet"/>
      </w:pPr>
      <w:r>
        <w:t>Quote total is server-calculated.</w:t>
      </w:r>
    </w:p>
    <w:p>
      <w:pPr>
        <w:pStyle w:val="ListBullet"/>
      </w:pPr>
      <w:r>
        <w:t>Issued quotes are immutable or versioned.</w:t>
      </w:r>
    </w:p>
    <w:p>
      <w:pPr>
        <w:pStyle w:val="ListBullet"/>
      </w:pPr>
      <w:r>
        <w:t>Validity/expiry is explicit.</w:t>
      </w:r>
    </w:p>
    <w:p>
      <w:pPr>
        <w:pStyle w:val="ListBullet"/>
      </w:pPr>
      <w:r>
        <w:t>Material scope changes require re-quote.</w:t>
      </w:r>
    </w:p>
    <w:p>
      <w:pPr>
        <w:pStyle w:val="Heading1"/>
      </w:pPr>
      <w:r>
        <w:t>18. Quote API capabilities</w:t>
      </w:r>
    </w:p>
    <w:tbl>
      <w:tblPr>
        <w:tblStyle w:val="TableGrid"/>
        <w:tblW w:type="auto" w:w="0"/>
        <w:tblLook w:firstColumn="1" w:firstRow="1" w:lastColumn="0" w:lastRow="0" w:noHBand="0" w:noVBand="1" w:val="04A0"/>
      </w:tblPr>
      <w:tblGrid>
        <w:gridCol w:w="5256"/>
        <w:gridCol w:w="5256"/>
      </w:tblGrid>
      <w:tr>
        <w:tc>
          <w:tcPr>
            <w:tcW w:type="dxa" w:w="5256"/>
          </w:tcPr>
          <w:p>
            <w:r>
              <w:t>Operation</w:t>
            </w:r>
          </w:p>
        </w:tc>
        <w:tc>
          <w:tcPr>
            <w:tcW w:type="dxa" w:w="5256"/>
          </w:tcPr>
          <w:p>
            <w:r>
              <w:t>Rule</w:t>
            </w:r>
          </w:p>
        </w:tc>
      </w:tr>
      <w:tr>
        <w:tc>
          <w:tcPr>
            <w:tcW w:type="dxa" w:w="5256"/>
          </w:tcPr>
          <w:p>
            <w:r>
              <w:t>CalculateQuote</w:t>
            </w:r>
          </w:p>
        </w:tc>
        <w:tc>
          <w:tcPr>
            <w:tcW w:type="dxa" w:w="5256"/>
          </w:tcPr>
          <w:p>
            <w:r>
              <w:t>Requires validated scope + price inputs.</w:t>
            </w:r>
          </w:p>
        </w:tc>
      </w:tr>
      <w:tr>
        <w:tc>
          <w:tcPr>
            <w:tcW w:type="dxa" w:w="5256"/>
          </w:tcPr>
          <w:p>
            <w:r>
              <w:t>IssueQuote</w:t>
            </w:r>
          </w:p>
        </w:tc>
        <w:tc>
          <w:tcPr>
            <w:tcW w:type="dxa" w:w="5256"/>
          </w:tcPr>
          <w:p>
            <w:r>
              <w:t>Requires valid calculated quote and eligibility.</w:t>
            </w:r>
          </w:p>
        </w:tc>
      </w:tr>
      <w:tr>
        <w:tc>
          <w:tcPr>
            <w:tcW w:type="dxa" w:w="5256"/>
          </w:tcPr>
          <w:p>
            <w:r>
              <w:t>GetQuote</w:t>
            </w:r>
          </w:p>
        </w:tc>
        <w:tc>
          <w:tcPr>
            <w:tcW w:type="dxa" w:w="5256"/>
          </w:tcPr>
          <w:p>
            <w:r>
              <w:t>Customer/staff authorization.</w:t>
            </w:r>
          </w:p>
        </w:tc>
      </w:tr>
      <w:tr>
        <w:tc>
          <w:tcPr>
            <w:tcW w:type="dxa" w:w="5256"/>
          </w:tcPr>
          <w:p>
            <w:r>
              <w:t>AcceptQuote</w:t>
            </w:r>
          </w:p>
        </w:tc>
        <w:tc>
          <w:tcPr>
            <w:tcW w:type="dxa" w:w="5256"/>
          </w:tcPr>
          <w:p>
            <w:r>
              <w:t>Authenticated customer + valid unexpired quote.</w:t>
            </w:r>
          </w:p>
        </w:tc>
      </w:tr>
      <w:tr>
        <w:tc>
          <w:tcPr>
            <w:tcW w:type="dxa" w:w="5256"/>
          </w:tcPr>
          <w:p>
            <w:r>
              <w:t>RejectQuote</w:t>
            </w:r>
          </w:p>
        </w:tc>
        <w:tc>
          <w:tcPr>
            <w:tcW w:type="dxa" w:w="5256"/>
          </w:tcPr>
          <w:p>
            <w:r>
              <w:t>Only if configured.</w:t>
            </w:r>
          </w:p>
        </w:tc>
      </w:tr>
      <w:tr>
        <w:tc>
          <w:tcPr>
            <w:tcW w:type="dxa" w:w="5256"/>
          </w:tcPr>
          <w:p>
            <w:r>
              <w:t>RecalculateQuote</w:t>
            </w:r>
          </w:p>
        </w:tc>
        <w:tc>
          <w:tcPr>
            <w:tcW w:type="dxa" w:w="5256"/>
          </w:tcPr>
          <w:p>
            <w:r>
              <w:t>Creates a new version when material inputs change.</w:t>
            </w:r>
          </w:p>
        </w:tc>
      </w:tr>
    </w:tbl>
    <w:p>
      <w:pPr>
        <w:pStyle w:val="Heading1"/>
      </w:pPr>
      <w:r>
        <w:t>19. Payment automation</w:t>
      </w:r>
    </w:p>
    <w:p>
      <w:pPr>
        <w:pStyle w:val="ListBullet"/>
      </w:pPr>
      <w:r>
        <w:t>Payment initiation requires authenticated customer and valid quote.</w:t>
      </w:r>
    </w:p>
    <w:p>
      <w:pPr>
        <w:pStyle w:val="ListBullet"/>
      </w:pPr>
      <w:r>
        <w:t>Amount must match authoritative quote.</w:t>
      </w:r>
    </w:p>
    <w:p>
      <w:pPr>
        <w:pStyle w:val="ListBullet"/>
      </w:pPr>
      <w:r>
        <w:t>Payment intent/transaction is created server-side.</w:t>
      </w:r>
    </w:p>
    <w:p>
      <w:pPr>
        <w:pStyle w:val="ListBullet"/>
      </w:pPr>
      <w:r>
        <w:t>Idempotency is required for payment initiation.</w:t>
      </w:r>
    </w:p>
    <w:p>
      <w:pPr>
        <w:pStyle w:val="ListBullet"/>
      </w:pPr>
      <w:r>
        <w:t>Provider webhook/event is verified.</w:t>
      </w:r>
    </w:p>
    <w:p>
      <w:pPr>
        <w:pStyle w:val="ListBullet"/>
      </w:pPr>
      <w:r>
        <w:t>Browser return is not authoritative.</w:t>
      </w:r>
    </w:p>
    <w:p>
      <w:pPr>
        <w:pStyle w:val="ListBullet"/>
      </w:pPr>
      <w:r>
        <w:t>Successful payment changes state only after server/provider confirmation.</w:t>
      </w:r>
    </w:p>
    <w:p>
      <w:pPr>
        <w:pStyle w:val="Heading1"/>
      </w:pPr>
      <w:r>
        <w:t>20. Straight-through payment flow</w:t>
      </w:r>
    </w:p>
    <w:p>
      <w:r>
        <w:t>Quote ready → customer accepts → payment service creates transaction → provider interaction → verified provider event → payment reconciled → case/execution transition</w:t>
      </w:r>
    </w:p>
    <w:p>
      <w:r>
        <w:t>If payment cannot be safely confirmed, the case remains in the appropriate pending/reconciliation state rather than being marked paid.</w:t>
      </w:r>
    </w:p>
    <w:p>
      <w:pPr>
        <w:pStyle w:val="Heading1"/>
      </w:pPr>
      <w:r>
        <w:t>21. AI tool/action contracts</w:t>
      </w:r>
    </w:p>
    <w:tbl>
      <w:tblPr>
        <w:tblStyle w:val="TableGrid"/>
        <w:tblW w:type="auto" w:w="0"/>
        <w:tblLook w:firstColumn="1" w:firstRow="1" w:lastColumn="0" w:lastRow="0" w:noHBand="0" w:noVBand="1" w:val="04A0"/>
      </w:tblPr>
      <w:tblGrid>
        <w:gridCol w:w="5256"/>
        <w:gridCol w:w="5256"/>
      </w:tblGrid>
      <w:tr>
        <w:tc>
          <w:tcPr>
            <w:tcW w:type="dxa" w:w="5256"/>
          </w:tcPr>
          <w:p>
            <w:r>
              <w:t>Action</w:t>
            </w:r>
          </w:p>
        </w:tc>
        <w:tc>
          <w:tcPr>
            <w:tcW w:type="dxa" w:w="5256"/>
          </w:tcPr>
          <w:p>
            <w:r>
              <w:t>Backend controls</w:t>
            </w:r>
          </w:p>
        </w:tc>
      </w:tr>
      <w:tr>
        <w:tc>
          <w:tcPr>
            <w:tcW w:type="dxa" w:w="5256"/>
          </w:tcPr>
          <w:p>
            <w:r>
              <w:t>get_service_catalog</w:t>
            </w:r>
          </w:p>
        </w:tc>
        <w:tc>
          <w:tcPr>
            <w:tcW w:type="dxa" w:w="5256"/>
          </w:tcPr>
          <w:p>
            <w:r>
              <w:t>Public/configured service data.</w:t>
            </w:r>
          </w:p>
        </w:tc>
      </w:tr>
      <w:tr>
        <w:tc>
          <w:tcPr>
            <w:tcW w:type="dxa" w:w="5256"/>
          </w:tcPr>
          <w:p>
            <w:r>
              <w:t>get_structured_scope</w:t>
            </w:r>
          </w:p>
        </w:tc>
        <w:tc>
          <w:tcPr>
            <w:tcW w:type="dxa" w:w="5256"/>
          </w:tcPr>
          <w:p>
            <w:r>
              <w:t>Request/session ownership.</w:t>
            </w:r>
          </w:p>
        </w:tc>
      </w:tr>
      <w:tr>
        <w:tc>
          <w:tcPr>
            <w:tcW w:type="dxa" w:w="5256"/>
          </w:tcPr>
          <w:p>
            <w:r>
              <w:t>evaluate_automation</w:t>
            </w:r>
          </w:p>
        </w:tc>
        <w:tc>
          <w:tcPr>
            <w:tcW w:type="dxa" w:w="5256"/>
          </w:tcPr>
          <w:p>
            <w:r>
              <w:t>Deterministic eligibility engine.</w:t>
            </w:r>
          </w:p>
        </w:tc>
      </w:tr>
      <w:tr>
        <w:tc>
          <w:tcPr>
            <w:tcW w:type="dxa" w:w="5256"/>
          </w:tcPr>
          <w:p>
            <w:r>
              <w:t>create_case</w:t>
            </w:r>
          </w:p>
        </w:tc>
        <w:tc>
          <w:tcPr>
            <w:tcW w:type="dxa" w:w="5256"/>
          </w:tcPr>
          <w:p>
            <w:r>
              <w:t>Authenticated + AUTO + idempotent.</w:t>
            </w:r>
          </w:p>
        </w:tc>
      </w:tr>
      <w:tr>
        <w:tc>
          <w:tcPr>
            <w:tcW w:type="dxa" w:w="5256"/>
          </w:tcPr>
          <w:p>
            <w:r>
              <w:t>calculate_quote</w:t>
            </w:r>
          </w:p>
        </w:tc>
        <w:tc>
          <w:tcPr>
            <w:tcW w:type="dxa" w:w="5256"/>
          </w:tcPr>
          <w:p>
            <w:r>
              <w:t>Scope + pricing engine only.</w:t>
            </w:r>
          </w:p>
        </w:tc>
      </w:tr>
      <w:tr>
        <w:tc>
          <w:tcPr>
            <w:tcW w:type="dxa" w:w="5256"/>
          </w:tcPr>
          <w:p>
            <w:r>
              <w:t>issue_quote</w:t>
            </w:r>
          </w:p>
        </w:tc>
        <w:tc>
          <w:tcPr>
            <w:tcW w:type="dxa" w:w="5256"/>
          </w:tcPr>
          <w:p>
            <w:r>
              <w:t>Valid calculated quote.</w:t>
            </w:r>
          </w:p>
        </w:tc>
      </w:tr>
      <w:tr>
        <w:tc>
          <w:tcPr>
            <w:tcW w:type="dxa" w:w="5256"/>
          </w:tcPr>
          <w:p>
            <w:r>
              <w:t>create_payment</w:t>
            </w:r>
          </w:p>
        </w:tc>
        <w:tc>
          <w:tcPr>
            <w:tcW w:type="dxa" w:w="5256"/>
          </w:tcPr>
          <w:p>
            <w:r>
              <w:t>Authenticated + accepted valid quote + idempotent.</w:t>
            </w:r>
          </w:p>
        </w:tc>
      </w:tr>
      <w:tr>
        <w:tc>
          <w:tcPr>
            <w:tcW w:type="dxa" w:w="5256"/>
          </w:tcPr>
          <w:p>
            <w:r>
              <w:t>check_availability</w:t>
            </w:r>
          </w:p>
        </w:tc>
        <w:tc>
          <w:tcPr>
            <w:tcW w:type="dxa" w:w="5256"/>
          </w:tcPr>
          <w:p>
            <w:r>
              <w:t>Only configured integration.</w:t>
            </w:r>
          </w:p>
        </w:tc>
      </w:tr>
      <w:tr>
        <w:tc>
          <w:tcPr>
            <w:tcW w:type="dxa" w:w="5256"/>
          </w:tcPr>
          <w:p>
            <w:r>
              <w:t>escalate</w:t>
            </w:r>
          </w:p>
        </w:tc>
        <w:tc>
          <w:tcPr>
            <w:tcW w:type="dxa" w:w="5256"/>
          </w:tcPr>
          <w:p>
            <w:r>
              <w:t>Creates persistent escalation and operations handoff.</w:t>
            </w:r>
          </w:p>
        </w:tc>
      </w:tr>
    </w:tbl>
    <w:p>
      <w:r>
        <w:t>AI actions must use strict schemas. Authorization and validation occur when the tool is executed, not merely when the model proposes it.</w:t>
      </w:r>
    </w:p>
    <w:p>
      <w:pPr>
        <w:pStyle w:val="Heading1"/>
      </w:pPr>
      <w:r>
        <w:t>22. AI authority boundary</w:t>
      </w:r>
    </w:p>
    <w:p>
      <w:pPr>
        <w:pStyle w:val="ListBullet"/>
      </w:pPr>
      <w:r>
        <w:t>AI may interpret language.</w:t>
      </w:r>
    </w:p>
    <w:p>
      <w:pPr>
        <w:pStyle w:val="ListBullet"/>
      </w:pPr>
      <w:r>
        <w:t>AI may propose service classification.</w:t>
      </w:r>
    </w:p>
    <w:p>
      <w:pPr>
        <w:pStyle w:val="ListBullet"/>
      </w:pPr>
      <w:r>
        <w:t>AI may propose structured scope.</w:t>
      </w:r>
    </w:p>
    <w:p>
      <w:pPr>
        <w:pStyle w:val="ListBullet"/>
      </w:pPr>
      <w:r>
        <w:t>AI may request deterministic backend calculations.</w:t>
      </w:r>
    </w:p>
    <w:p>
      <w:pPr>
        <w:pStyle w:val="ListBullet"/>
      </w:pPr>
      <w:r>
        <w:t>AI may invoke authorized transaction actions.</w:t>
      </w:r>
    </w:p>
    <w:p>
      <w:pPr>
        <w:pStyle w:val="ListBullet"/>
      </w:pPr>
      <w:r>
        <w:t>AI may not choose arbitrary prices.</w:t>
      </w:r>
    </w:p>
    <w:p>
      <w:pPr>
        <w:pStyle w:val="ListBullet"/>
      </w:pPr>
      <w:r>
        <w:t>AI may not override permissions.</w:t>
      </w:r>
    </w:p>
    <w:p>
      <w:pPr>
        <w:pStyle w:val="ListBullet"/>
      </w:pPr>
      <w:r>
        <w:t>AI may not mark payment successful.</w:t>
      </w:r>
    </w:p>
    <w:p>
      <w:pPr>
        <w:pStyle w:val="ListBullet"/>
      </w:pPr>
      <w:r>
        <w:t>AI may not bypass escalation.</w:t>
      </w:r>
    </w:p>
    <w:p>
      <w:pPr>
        <w:pStyle w:val="ListBullet"/>
      </w:pPr>
      <w:r>
        <w:t>AI may not directly modify database records.</w:t>
      </w:r>
    </w:p>
    <w:p>
      <w:pPr>
        <w:pStyle w:val="Heading1"/>
      </w:pPr>
      <w:r>
        <w:t>23. Customer-facing automation states</w:t>
      </w:r>
    </w:p>
    <w:tbl>
      <w:tblPr>
        <w:tblStyle w:val="TableGrid"/>
        <w:tblW w:type="auto" w:w="0"/>
        <w:tblLook w:firstColumn="1" w:firstRow="1" w:lastColumn="0" w:lastRow="0" w:noHBand="0" w:noVBand="1" w:val="04A0"/>
      </w:tblPr>
      <w:tblGrid>
        <w:gridCol w:w="5256"/>
        <w:gridCol w:w="5256"/>
      </w:tblGrid>
      <w:tr>
        <w:tc>
          <w:tcPr>
            <w:tcW w:type="dxa" w:w="5256"/>
          </w:tcPr>
          <w:p>
            <w:r>
              <w:t>Backend state</w:t>
            </w:r>
          </w:p>
        </w:tc>
        <w:tc>
          <w:tcPr>
            <w:tcW w:type="dxa" w:w="5256"/>
          </w:tcPr>
          <w:p>
            <w:r>
              <w:t>Customer presentation</w:t>
            </w:r>
          </w:p>
        </w:tc>
      </w:tr>
      <w:tr>
        <w:tc>
          <w:tcPr>
            <w:tcW w:type="dxa" w:w="5256"/>
          </w:tcPr>
          <w:p>
            <w:r>
              <w:t>AUTOMATING</w:t>
            </w:r>
          </w:p>
        </w:tc>
        <w:tc>
          <w:tcPr>
            <w:tcW w:type="dxa" w:w="5256"/>
          </w:tcPr>
          <w:p>
            <w:r>
              <w:t>ASOJU is preparing your request.</w:t>
            </w:r>
          </w:p>
        </w:tc>
      </w:tr>
      <w:tr>
        <w:tc>
          <w:tcPr>
            <w:tcW w:type="dxa" w:w="5256"/>
          </w:tcPr>
          <w:p>
            <w:r>
              <w:t>CASE_CREATED</w:t>
            </w:r>
          </w:p>
        </w:tc>
        <w:tc>
          <w:tcPr>
            <w:tcW w:type="dxa" w:w="5256"/>
          </w:tcPr>
          <w:p>
            <w:r>
              <w:t>Your case has been created.</w:t>
            </w:r>
          </w:p>
        </w:tc>
      </w:tr>
      <w:tr>
        <w:tc>
          <w:tcPr>
            <w:tcW w:type="dxa" w:w="5256"/>
          </w:tcPr>
          <w:p>
            <w:r>
              <w:t>QUOTE_CALCULATING</w:t>
            </w:r>
          </w:p>
        </w:tc>
        <w:tc>
          <w:tcPr>
            <w:tcW w:type="dxa" w:w="5256"/>
          </w:tcPr>
          <w:p>
            <w:r>
              <w:t>Your quote is being prepared.</w:t>
            </w:r>
          </w:p>
        </w:tc>
      </w:tr>
      <w:tr>
        <w:tc>
          <w:tcPr>
            <w:tcW w:type="dxa" w:w="5256"/>
          </w:tcPr>
          <w:p>
            <w:r>
              <w:t>QUOTE_READY</w:t>
            </w:r>
          </w:p>
        </w:tc>
        <w:tc>
          <w:tcPr>
            <w:tcW w:type="dxa" w:w="5256"/>
          </w:tcPr>
          <w:p>
            <w:r>
              <w:t>Your quote is ready.</w:t>
            </w:r>
          </w:p>
        </w:tc>
      </w:tr>
      <w:tr>
        <w:tc>
          <w:tcPr>
            <w:tcW w:type="dxa" w:w="5256"/>
          </w:tcPr>
          <w:p>
            <w:r>
              <w:t>PAYMENT_REQUIRED</w:t>
            </w:r>
          </w:p>
        </w:tc>
        <w:tc>
          <w:tcPr>
            <w:tcW w:type="dxa" w:w="5256"/>
          </w:tcPr>
          <w:p>
            <w:r>
              <w:t>Payment is required to proceed.</w:t>
            </w:r>
          </w:p>
        </w:tc>
      </w:tr>
      <w:tr>
        <w:tc>
          <w:tcPr>
            <w:tcW w:type="dxa" w:w="5256"/>
          </w:tcPr>
          <w:p>
            <w:r>
              <w:t>PAID</w:t>
            </w:r>
          </w:p>
        </w:tc>
        <w:tc>
          <w:tcPr>
            <w:tcW w:type="dxa" w:w="5256"/>
          </w:tcPr>
          <w:p>
            <w:r>
              <w:t>Payment confirmed.</w:t>
            </w:r>
          </w:p>
        </w:tc>
      </w:tr>
      <w:tr>
        <w:tc>
          <w:tcPr>
            <w:tcW w:type="dxa" w:w="5256"/>
          </w:tcPr>
          <w:p>
            <w:r>
              <w:t>ESCALATION_REQUIRED</w:t>
            </w:r>
          </w:p>
        </w:tc>
        <w:tc>
          <w:tcPr>
            <w:tcW w:type="dxa" w:w="5256"/>
          </w:tcPr>
          <w:p>
            <w:r>
              <w:t>An ASOJU team member needs to review this before we continue.</w:t>
            </w:r>
          </w:p>
        </w:tc>
      </w:tr>
      <w:tr>
        <w:tc>
          <w:tcPr>
            <w:tcW w:type="dxa" w:w="5256"/>
          </w:tcPr>
          <w:p>
            <w:r>
              <w:t>BLOCKED</w:t>
            </w:r>
          </w:p>
        </w:tc>
        <w:tc>
          <w:tcPr>
            <w:tcW w:type="dxa" w:w="5256"/>
          </w:tcPr>
          <w:p>
            <w:r>
              <w:t>This request cannot currently proceed.</w:t>
            </w:r>
          </w:p>
        </w:tc>
      </w:tr>
      <w:tr>
        <w:tc>
          <w:tcPr>
            <w:tcW w:type="dxa" w:w="5256"/>
          </w:tcPr>
          <w:p>
            <w:r>
              <w:t>COMPLETED</w:t>
            </w:r>
          </w:p>
        </w:tc>
        <w:tc>
          <w:tcPr>
            <w:tcW w:type="dxa" w:w="5256"/>
          </w:tcPr>
          <w:p>
            <w:r>
              <w:t>Service completed.</w:t>
            </w:r>
          </w:p>
        </w:tc>
      </w:tr>
    </w:tbl>
    <w:p>
      <w:pPr>
        <w:pStyle w:val="Heading1"/>
      </w:pPr>
      <w:r>
        <w:t>24. Operations handoff</w:t>
      </w:r>
    </w:p>
    <w:p>
      <w:r>
        <w:t>When escalation occurs, create a staff-ready handoff containing:</w:t>
      </w:r>
    </w:p>
    <w:p>
      <w:pPr>
        <w:pStyle w:val="ListBullet"/>
      </w:pPr>
      <w:r>
        <w:t>Customer-safe request summary.</w:t>
      </w:r>
    </w:p>
    <w:p>
      <w:pPr>
        <w:pStyle w:val="ListBullet"/>
      </w:pPr>
      <w:r>
        <w:t>Service classification.</w:t>
      </w:r>
    </w:p>
    <w:p>
      <w:pPr>
        <w:pStyle w:val="ListBullet"/>
      </w:pPr>
      <w:r>
        <w:t>Confirmed scope.</w:t>
      </w:r>
    </w:p>
    <w:p>
      <w:pPr>
        <w:pStyle w:val="ListBullet"/>
      </w:pPr>
      <w:r>
        <w:t>Missing/uncertain information.</w:t>
      </w:r>
    </w:p>
    <w:p>
      <w:pPr>
        <w:pStyle w:val="ListBullet"/>
      </w:pPr>
      <w:r>
        <w:t>Unresolved pricing inputs.</w:t>
      </w:r>
    </w:p>
    <w:p>
      <w:pPr>
        <w:pStyle w:val="ListBullet"/>
      </w:pPr>
      <w:r>
        <w:t>Provider/availability issue where applicable.</w:t>
      </w:r>
    </w:p>
    <w:p>
      <w:pPr>
        <w:pStyle w:val="ListBullet"/>
      </w:pPr>
      <w:r>
        <w:t>Conversation/request reference.</w:t>
      </w:r>
    </w:p>
    <w:p>
      <w:pPr>
        <w:pStyle w:val="ListBullet"/>
      </w:pPr>
      <w:r>
        <w:t>Recommended next action.</w:t>
      </w:r>
    </w:p>
    <w:p>
      <w:r>
        <w:t>Internal rule details, risk scores and proprietary pricing logic remain restricted.</w:t>
      </w:r>
    </w:p>
    <w:p>
      <w:pPr>
        <w:pStyle w:val="Heading1"/>
      </w:pPr>
      <w:r>
        <w:t>25. Database additions/changes</w:t>
      </w:r>
    </w:p>
    <w:tbl>
      <w:tblPr>
        <w:tblStyle w:val="TableGrid"/>
        <w:tblW w:type="auto" w:w="0"/>
        <w:tblLook w:firstColumn="1" w:firstRow="1" w:lastColumn="0" w:lastRow="0" w:noHBand="0" w:noVBand="1" w:val="04A0"/>
      </w:tblPr>
      <w:tblGrid>
        <w:gridCol w:w="5256"/>
        <w:gridCol w:w="5256"/>
      </w:tblGrid>
      <w:tr>
        <w:tc>
          <w:tcPr>
            <w:tcW w:type="dxa" w:w="5256"/>
          </w:tcPr>
          <w:p>
            <w:r>
              <w:t>Entity</w:t>
            </w:r>
          </w:p>
        </w:tc>
        <w:tc>
          <w:tcPr>
            <w:tcW w:type="dxa" w:w="5256"/>
          </w:tcPr>
          <w:p>
            <w:r>
              <w:t>Purpose</w:t>
            </w:r>
          </w:p>
        </w:tc>
      </w:tr>
      <w:tr>
        <w:tc>
          <w:tcPr>
            <w:tcW w:type="dxa" w:w="5256"/>
          </w:tcPr>
          <w:p>
            <w:r>
              <w:t>AutomationCapability</w:t>
            </w:r>
          </w:p>
        </w:tc>
        <w:tc>
          <w:tcPr>
            <w:tcW w:type="dxa" w:w="5256"/>
          </w:tcPr>
          <w:p>
            <w:r>
              <w:t>Controls service/workflow automation level.</w:t>
            </w:r>
          </w:p>
        </w:tc>
      </w:tr>
      <w:tr>
        <w:tc>
          <w:tcPr>
            <w:tcW w:type="dxa" w:w="5256"/>
          </w:tcPr>
          <w:p>
            <w:r>
              <w:t>AutomationRule</w:t>
            </w:r>
          </w:p>
        </w:tc>
        <w:tc>
          <w:tcPr>
            <w:tcW w:type="dxa" w:w="5256"/>
          </w:tcPr>
          <w:p>
            <w:r>
              <w:t>Deterministic eligibility/escalation rule.</w:t>
            </w:r>
          </w:p>
        </w:tc>
      </w:tr>
      <w:tr>
        <w:tc>
          <w:tcPr>
            <w:tcW w:type="dxa" w:w="5256"/>
          </w:tcPr>
          <w:p>
            <w:r>
              <w:t>AutomationDecision</w:t>
            </w:r>
          </w:p>
        </w:tc>
        <w:tc>
          <w:tcPr>
            <w:tcW w:type="dxa" w:w="5256"/>
          </w:tcPr>
          <w:p>
            <w:r>
              <w:t>Immutable decision record.</w:t>
            </w:r>
          </w:p>
        </w:tc>
      </w:tr>
      <w:tr>
        <w:tc>
          <w:tcPr>
            <w:tcW w:type="dxa" w:w="5256"/>
          </w:tcPr>
          <w:p>
            <w:r>
              <w:t>PriceBook</w:t>
            </w:r>
          </w:p>
        </w:tc>
        <w:tc>
          <w:tcPr>
            <w:tcW w:type="dxa" w:w="5256"/>
          </w:tcPr>
          <w:p>
            <w:r>
              <w:t>Versioned pricing source.</w:t>
            </w:r>
          </w:p>
        </w:tc>
      </w:tr>
      <w:tr>
        <w:tc>
          <w:tcPr>
            <w:tcW w:type="dxa" w:w="5256"/>
          </w:tcPr>
          <w:p>
            <w:r>
              <w:t>PriceRule</w:t>
            </w:r>
          </w:p>
        </w:tc>
        <w:tc>
          <w:tcPr>
            <w:tcW w:type="dxa" w:w="5256"/>
          </w:tcPr>
          <w:p>
            <w:r>
              <w:t>Base/unit/configured calculation rule.</w:t>
            </w:r>
          </w:p>
        </w:tc>
      </w:tr>
      <w:tr>
        <w:tc>
          <w:tcPr>
            <w:tcW w:type="dxa" w:w="5256"/>
          </w:tcPr>
          <w:p>
            <w:r>
              <w:t>MultiplierRule</w:t>
            </w:r>
          </w:p>
        </w:tc>
        <w:tc>
          <w:tcPr>
            <w:tcW w:type="dxa" w:w="5256"/>
          </w:tcPr>
          <w:p>
            <w:r>
              <w:t>Conditional pricing multiplier.</w:t>
            </w:r>
          </w:p>
        </w:tc>
      </w:tr>
      <w:tr>
        <w:tc>
          <w:tcPr>
            <w:tcW w:type="dxa" w:w="5256"/>
          </w:tcPr>
          <w:p>
            <w:r>
              <w:t>ExternalCostRule</w:t>
            </w:r>
          </w:p>
        </w:tc>
        <w:tc>
          <w:tcPr>
            <w:tcW w:type="dxa" w:w="5256"/>
          </w:tcPr>
          <w:p>
            <w:r>
              <w:t>Approved external cost source.</w:t>
            </w:r>
          </w:p>
        </w:tc>
      </w:tr>
      <w:tr>
        <w:tc>
          <w:tcPr>
            <w:tcW w:type="dxa" w:w="5256"/>
          </w:tcPr>
          <w:p>
            <w:r>
              <w:t>Escalation</w:t>
            </w:r>
          </w:p>
        </w:tc>
        <w:tc>
          <w:tcPr>
            <w:tcW w:type="dxa" w:w="5256"/>
          </w:tcPr>
          <w:p>
            <w:r>
              <w:t>Persistent human-review state/handoff.</w:t>
            </w:r>
          </w:p>
        </w:tc>
      </w:tr>
      <w:tr>
        <w:tc>
          <w:tcPr>
            <w:tcW w:type="dxa" w:w="5256"/>
          </w:tcPr>
          <w:p>
            <w:r>
              <w:t>IdempotencyRecord</w:t>
            </w:r>
          </w:p>
        </w:tc>
        <w:tc>
          <w:tcPr>
            <w:tcW w:type="dxa" w:w="5256"/>
          </w:tcPr>
          <w:p>
            <w:r>
              <w:t>Duplicate protection for consequential actions.</w:t>
            </w:r>
          </w:p>
        </w:tc>
      </w:tr>
    </w:tbl>
    <w:p>
      <w:r>
        <w:t>These should be reconciled with the ASOJU Database/Data Model Specification before migrations.</w:t>
      </w:r>
    </w:p>
    <w:p>
      <w:pPr>
        <w:pStyle w:val="Heading1"/>
      </w:pPr>
      <w:r>
        <w:t>26. Security</w:t>
      </w:r>
    </w:p>
    <w:p>
      <w:pPr>
        <w:pStyle w:val="ListBullet"/>
      </w:pPr>
      <w:r>
        <w:t>Tool calls are authenticated and authorized.</w:t>
      </w:r>
    </w:p>
    <w:p>
      <w:pPr>
        <w:pStyle w:val="ListBullet"/>
      </w:pPr>
      <w:r>
        <w:t>AI cannot select privileged customer IDs.</w:t>
      </w:r>
    </w:p>
    <w:p>
      <w:pPr>
        <w:pStyle w:val="ListBullet"/>
      </w:pPr>
      <w:r>
        <w:t>AI cannot access arbitrary database queries.</w:t>
      </w:r>
    </w:p>
    <w:p>
      <w:pPr>
        <w:pStyle w:val="ListBullet"/>
      </w:pPr>
      <w:r>
        <w:t>Pricing rules exposed to AI should be minimized to required results.</w:t>
      </w:r>
    </w:p>
    <w:p>
      <w:pPr>
        <w:pStyle w:val="ListBullet"/>
      </w:pPr>
      <w:r>
        <w:t>Payment secrets stay outside AI context.</w:t>
      </w:r>
    </w:p>
    <w:p>
      <w:pPr>
        <w:pStyle w:val="ListBullet"/>
      </w:pPr>
      <w:r>
        <w:t>Prompt injection cannot elevate permissions.</w:t>
      </w:r>
    </w:p>
    <w:p>
      <w:pPr>
        <w:pStyle w:val="ListBullet"/>
      </w:pPr>
      <w:r>
        <w:t>Customer conversation data follows retention/privacy policy.</w:t>
      </w:r>
    </w:p>
    <w:p>
      <w:pPr>
        <w:pStyle w:val="ListBullet"/>
      </w:pPr>
      <w:r>
        <w:t>Consequential actions are audited.</w:t>
      </w:r>
    </w:p>
    <w:p>
      <w:pPr>
        <w:pStyle w:val="Heading1"/>
      </w:pPr>
      <w:r>
        <w:t>27. Audit requirements</w:t>
      </w:r>
    </w:p>
    <w:tbl>
      <w:tblPr>
        <w:tblStyle w:val="TableGrid"/>
        <w:tblW w:type="auto" w:w="0"/>
        <w:tblLook w:firstColumn="1" w:firstRow="1" w:lastColumn="0" w:lastRow="0" w:noHBand="0" w:noVBand="1" w:val="04A0"/>
      </w:tblPr>
      <w:tblGrid>
        <w:gridCol w:w="5256"/>
        <w:gridCol w:w="5256"/>
      </w:tblGrid>
      <w:tr>
        <w:tc>
          <w:tcPr>
            <w:tcW w:type="dxa" w:w="5256"/>
          </w:tcPr>
          <w:p>
            <w:r>
              <w:t>Event</w:t>
            </w:r>
          </w:p>
        </w:tc>
        <w:tc>
          <w:tcPr>
            <w:tcW w:type="dxa" w:w="5256"/>
          </w:tcPr>
          <w:p>
            <w:r>
              <w:t>Record</w:t>
            </w:r>
          </w:p>
        </w:tc>
      </w:tr>
      <w:tr>
        <w:tc>
          <w:tcPr>
            <w:tcW w:type="dxa" w:w="5256"/>
          </w:tcPr>
          <w:p>
            <w:r>
              <w:t>Automation decision</w:t>
            </w:r>
          </w:p>
        </w:tc>
        <w:tc>
          <w:tcPr>
            <w:tcW w:type="dxa" w:w="5256"/>
          </w:tcPr>
          <w:p>
            <w:r>
              <w:t>Decision + rule/config version + correlation ID.</w:t>
            </w:r>
          </w:p>
        </w:tc>
      </w:tr>
      <w:tr>
        <w:tc>
          <w:tcPr>
            <w:tcW w:type="dxa" w:w="5256"/>
          </w:tcPr>
          <w:p>
            <w:r>
              <w:t>Case automation</w:t>
            </w:r>
          </w:p>
        </w:tc>
        <w:tc>
          <w:tcPr>
            <w:tcW w:type="dxa" w:w="5256"/>
          </w:tcPr>
          <w:p>
            <w:r>
              <w:t>Actor/service + request + case reference.</w:t>
            </w:r>
          </w:p>
        </w:tc>
      </w:tr>
      <w:tr>
        <w:tc>
          <w:tcPr>
            <w:tcW w:type="dxa" w:w="5256"/>
          </w:tcPr>
          <w:p>
            <w:r>
              <w:t>Quote calculation</w:t>
            </w:r>
          </w:p>
        </w:tc>
        <w:tc>
          <w:tcPr>
            <w:tcW w:type="dxa" w:w="5256"/>
          </w:tcPr>
          <w:p>
            <w:r>
              <w:t>Price book/rule version + source references.</w:t>
            </w:r>
          </w:p>
        </w:tc>
      </w:tr>
      <w:tr>
        <w:tc>
          <w:tcPr>
            <w:tcW w:type="dxa" w:w="5256"/>
          </w:tcPr>
          <w:p>
            <w:r>
              <w:t>Quote issuance</w:t>
            </w:r>
          </w:p>
        </w:tc>
        <w:tc>
          <w:tcPr>
            <w:tcW w:type="dxa" w:w="5256"/>
          </w:tcPr>
          <w:p>
            <w:r>
              <w:t>Quote version + actor/service.</w:t>
            </w:r>
          </w:p>
        </w:tc>
      </w:tr>
      <w:tr>
        <w:tc>
          <w:tcPr>
            <w:tcW w:type="dxa" w:w="5256"/>
          </w:tcPr>
          <w:p>
            <w:r>
              <w:t>Payment initiation</w:t>
            </w:r>
          </w:p>
        </w:tc>
        <w:tc>
          <w:tcPr>
            <w:tcW w:type="dxa" w:w="5256"/>
          </w:tcPr>
          <w:p>
            <w:r>
              <w:t>Idempotency key + payment reference.</w:t>
            </w:r>
          </w:p>
        </w:tc>
      </w:tr>
      <w:tr>
        <w:tc>
          <w:tcPr>
            <w:tcW w:type="dxa" w:w="5256"/>
          </w:tcPr>
          <w:p>
            <w:r>
              <w:t>Escalation</w:t>
            </w:r>
          </w:p>
        </w:tc>
        <w:tc>
          <w:tcPr>
            <w:tcW w:type="dxa" w:w="5256"/>
          </w:tcPr>
          <w:p>
            <w:r>
              <w:t>Reason category + handoff reference.</w:t>
            </w:r>
          </w:p>
        </w:tc>
      </w:tr>
      <w:tr>
        <w:tc>
          <w:tcPr>
            <w:tcW w:type="dxa" w:w="5256"/>
          </w:tcPr>
          <w:p>
            <w:r>
              <w:t>Manual override</w:t>
            </w:r>
          </w:p>
        </w:tc>
        <w:tc>
          <w:tcPr>
            <w:tcW w:type="dxa" w:w="5256"/>
          </w:tcPr>
          <w:p>
            <w:r>
              <w:t>Staff actor + changed value + reason where required.</w:t>
            </w:r>
          </w:p>
        </w:tc>
      </w:tr>
    </w:tbl>
    <w:p>
      <w:pPr>
        <w:pStyle w:val="Heading1"/>
      </w:pPr>
      <w:r>
        <w:t>28. Failure/recovery</w:t>
      </w:r>
    </w:p>
    <w:p>
      <w:pPr>
        <w:pStyle w:val="ListBullet"/>
      </w:pPr>
      <w:r>
        <w:t>AI timeout: preserve request state and allow retry.</w:t>
      </w:r>
    </w:p>
    <w:p>
      <w:pPr>
        <w:pStyle w:val="ListBullet"/>
      </w:pPr>
      <w:r>
        <w:t>Pricing dependency failure: do not issue a guessed quote; escalate/block.</w:t>
      </w:r>
    </w:p>
    <w:p>
      <w:pPr>
        <w:pStyle w:val="ListBullet"/>
      </w:pPr>
      <w:r>
        <w:t>Provider availability failure: preserve case/request and escalate where required.</w:t>
      </w:r>
    </w:p>
    <w:p>
      <w:pPr>
        <w:pStyle w:val="ListBullet"/>
      </w:pPr>
      <w:r>
        <w:t>Case creation timeout: reconcile idempotency before retry.</w:t>
      </w:r>
    </w:p>
    <w:p>
      <w:pPr>
        <w:pStyle w:val="ListBullet"/>
      </w:pPr>
      <w:r>
        <w:t>Payment timeout: query authoritative payment state before retry.</w:t>
      </w:r>
    </w:p>
    <w:p>
      <w:pPr>
        <w:pStyle w:val="ListBullet"/>
      </w:pPr>
      <w:r>
        <w:t>Webhook replay: idempotently ignore duplicate event.</w:t>
      </w:r>
    </w:p>
    <w:p>
      <w:pPr>
        <w:pStyle w:val="ListBullet"/>
      </w:pPr>
      <w:r>
        <w:t>Concurrent scope/quote update: return conflict and recalculate.</w:t>
      </w:r>
    </w:p>
    <w:p>
      <w:pPr>
        <w:pStyle w:val="Heading1"/>
      </w:pPr>
      <w:r>
        <w:t>29. Admin controls</w:t>
      </w:r>
    </w:p>
    <w:p>
      <w:pPr>
        <w:pStyle w:val="ListBullet"/>
      </w:pPr>
      <w:r>
        <w:t>Enable/disable automation by service/workflow.</w:t>
      </w:r>
    </w:p>
    <w:p>
      <w:pPr>
        <w:pStyle w:val="ListBullet"/>
      </w:pPr>
      <w:r>
        <w:t>Set automation level A0–A5.</w:t>
      </w:r>
    </w:p>
    <w:p>
      <w:pPr>
        <w:pStyle w:val="ListBullet"/>
      </w:pPr>
      <w:r>
        <w:t>Manage price books.</w:t>
      </w:r>
    </w:p>
    <w:p>
      <w:pPr>
        <w:pStyle w:val="ListBullet"/>
      </w:pPr>
      <w:r>
        <w:t>Manage price rules and multipliers.</w:t>
      </w:r>
    </w:p>
    <w:p>
      <w:pPr>
        <w:pStyle w:val="ListBullet"/>
      </w:pPr>
      <w:r>
        <w:t>Configure external price sources.</w:t>
      </w:r>
    </w:p>
    <w:p>
      <w:pPr>
        <w:pStyle w:val="ListBullet"/>
      </w:pPr>
      <w:r>
        <w:t>Configure discounts/taxes where supported.</w:t>
      </w:r>
    </w:p>
    <w:p>
      <w:pPr>
        <w:pStyle w:val="ListBullet"/>
      </w:pPr>
      <w:r>
        <w:t>Configure escalation rules.</w:t>
      </w:r>
    </w:p>
    <w:p>
      <w:pPr>
        <w:pStyle w:val="ListBullet"/>
      </w:pPr>
      <w:r>
        <w:t>Set quote validity.</w:t>
      </w:r>
    </w:p>
    <w:p>
      <w:pPr>
        <w:pStyle w:val="ListBullet"/>
      </w:pPr>
      <w:r>
        <w:t>Kill switch automated case/quote/payment flows.</w:t>
      </w:r>
    </w:p>
    <w:p>
      <w:r>
        <w:t>Changes affecting customer commitments or pricing require audit/versioning.</w:t>
      </w:r>
    </w:p>
    <w:p>
      <w:pPr>
        <w:pStyle w:val="Heading1"/>
      </w:pPr>
      <w:r>
        <w:t>30. Observability</w:t>
      </w:r>
    </w:p>
    <w:p>
      <w:pPr>
        <w:pStyle w:val="ListBullet"/>
      </w:pPr>
      <w:r>
        <w:t>Track automation decision rates.</w:t>
      </w:r>
    </w:p>
    <w:p>
      <w:pPr>
        <w:pStyle w:val="ListBullet"/>
      </w:pPr>
      <w:r>
        <w:t>Track automated case creation success/failure.</w:t>
      </w:r>
    </w:p>
    <w:p>
      <w:pPr>
        <w:pStyle w:val="ListBullet"/>
      </w:pPr>
      <w:r>
        <w:t>Track quote calculation errors.</w:t>
      </w:r>
    </w:p>
    <w:p>
      <w:pPr>
        <w:pStyle w:val="ListBullet"/>
      </w:pPr>
      <w:r>
        <w:t>Track escalation rates and categories.</w:t>
      </w:r>
    </w:p>
    <w:p>
      <w:pPr>
        <w:pStyle w:val="ListBullet"/>
      </w:pPr>
      <w:r>
        <w:t>Track payment automation success/failure.</w:t>
      </w:r>
    </w:p>
    <w:p>
      <w:pPr>
        <w:pStyle w:val="ListBullet"/>
      </w:pPr>
      <w:r>
        <w:t>Track provider dependency failures.</w:t>
      </w:r>
    </w:p>
    <w:p>
      <w:pPr>
        <w:pStyle w:val="ListBullet"/>
      </w:pPr>
      <w:r>
        <w:t>Track latency by orchestration stage.</w:t>
      </w:r>
    </w:p>
    <w:p>
      <w:pPr>
        <w:pStyle w:val="ListBullet"/>
      </w:pPr>
      <w:r>
        <w:t>Use correlation IDs across AI → backend → payment/provider.</w:t>
      </w:r>
    </w:p>
    <w:p>
      <w:pPr>
        <w:pStyle w:val="ListBullet"/>
      </w:pPr>
      <w:r>
        <w:t>Do not log secrets or unnecessary sensitive free text.</w:t>
      </w:r>
    </w:p>
    <w:p>
      <w:pPr>
        <w:pStyle w:val="Heading1"/>
      </w:pPr>
      <w:r>
        <w:t>31. Evaluation and acceptance</w:t>
      </w:r>
    </w:p>
    <w:tbl>
      <w:tblPr>
        <w:tblStyle w:val="TableGrid"/>
        <w:tblW w:type="auto" w:w="0"/>
        <w:tblLook w:firstColumn="1" w:firstRow="1" w:lastColumn="0" w:lastRow="0" w:noHBand="0" w:noVBand="1" w:val="04A0"/>
      </w:tblPr>
      <w:tblGrid>
        <w:gridCol w:w="5256"/>
        <w:gridCol w:w="5256"/>
      </w:tblGrid>
      <w:tr>
        <w:tc>
          <w:tcPr>
            <w:tcW w:type="dxa" w:w="5256"/>
          </w:tcPr>
          <w:p>
            <w:r>
              <w:t>Test</w:t>
            </w:r>
          </w:p>
        </w:tc>
        <w:tc>
          <w:tcPr>
            <w:tcW w:type="dxa" w:w="5256"/>
          </w:tcPr>
          <w:p>
            <w:r>
              <w:t>Required result</w:t>
            </w:r>
          </w:p>
        </w:tc>
      </w:tr>
      <w:tr>
        <w:tc>
          <w:tcPr>
            <w:tcW w:type="dxa" w:w="5256"/>
          </w:tcPr>
          <w:p>
            <w:r>
              <w:t>Eligible request</w:t>
            </w:r>
          </w:p>
        </w:tc>
        <w:tc>
          <w:tcPr>
            <w:tcW w:type="dxa" w:w="5256"/>
          </w:tcPr>
          <w:p>
            <w:r>
              <w:t>Completes through configured automation level.</w:t>
            </w:r>
          </w:p>
        </w:tc>
      </w:tr>
      <w:tr>
        <w:tc>
          <w:tcPr>
            <w:tcW w:type="dxa" w:w="5256"/>
          </w:tcPr>
          <w:p>
            <w:r>
              <w:t>Missing information</w:t>
            </w:r>
          </w:p>
        </w:tc>
        <w:tc>
          <w:tcPr>
            <w:tcW w:type="dxa" w:w="5256"/>
          </w:tcPr>
          <w:p>
            <w:r>
              <w:t>AI requests required input.</w:t>
            </w:r>
          </w:p>
        </w:tc>
      </w:tr>
      <w:tr>
        <w:tc>
          <w:tcPr>
            <w:tcW w:type="dxa" w:w="5256"/>
          </w:tcPr>
          <w:p>
            <w:r>
              <w:t>Unsupported task</w:t>
            </w:r>
          </w:p>
        </w:tc>
        <w:tc>
          <w:tcPr>
            <w:tcW w:type="dxa" w:w="5256"/>
          </w:tcPr>
          <w:p>
            <w:r>
              <w:t>Does not fabricate support.</w:t>
            </w:r>
          </w:p>
        </w:tc>
      </w:tr>
      <w:tr>
        <w:tc>
          <w:tcPr>
            <w:tcW w:type="dxa" w:w="5256"/>
          </w:tcPr>
          <w:p>
            <w:r>
              <w:t>Unknown price</w:t>
            </w:r>
          </w:p>
        </w:tc>
        <w:tc>
          <w:tcPr>
            <w:tcW w:type="dxa" w:w="5256"/>
          </w:tcPr>
          <w:p>
            <w:r>
              <w:t>Escalates/blocks rather than guesses.</w:t>
            </w:r>
          </w:p>
        </w:tc>
      </w:tr>
      <w:tr>
        <w:tc>
          <w:tcPr>
            <w:tcW w:type="dxa" w:w="5256"/>
          </w:tcPr>
          <w:p>
            <w:r>
              <w:t>External price unavailable</w:t>
            </w:r>
          </w:p>
        </w:tc>
        <w:tc>
          <w:tcPr>
            <w:tcW w:type="dxa" w:w="5256"/>
          </w:tcPr>
          <w:p>
            <w:r>
              <w:t>Escalates/blocks.</w:t>
            </w:r>
          </w:p>
        </w:tc>
      </w:tr>
      <w:tr>
        <w:tc>
          <w:tcPr>
            <w:tcW w:type="dxa" w:w="5256"/>
          </w:tcPr>
          <w:p>
            <w:r>
              <w:t>Duplicate case creation</w:t>
            </w:r>
          </w:p>
        </w:tc>
        <w:tc>
          <w:tcPr>
            <w:tcW w:type="dxa" w:w="5256"/>
          </w:tcPr>
          <w:p>
            <w:r>
              <w:t>One case.</w:t>
            </w:r>
          </w:p>
        </w:tc>
      </w:tr>
      <w:tr>
        <w:tc>
          <w:tcPr>
            <w:tcW w:type="dxa" w:w="5256"/>
          </w:tcPr>
          <w:p>
            <w:r>
              <w:t>Expired quote</w:t>
            </w:r>
          </w:p>
        </w:tc>
        <w:tc>
          <w:tcPr>
            <w:tcW w:type="dxa" w:w="5256"/>
          </w:tcPr>
          <w:p>
            <w:r>
              <w:t>Cannot be accepted/paid.</w:t>
            </w:r>
          </w:p>
        </w:tc>
      </w:tr>
      <w:tr>
        <w:tc>
          <w:tcPr>
            <w:tcW w:type="dxa" w:w="5256"/>
          </w:tcPr>
          <w:p>
            <w:r>
              <w:t>Payment redirect spoof</w:t>
            </w:r>
          </w:p>
        </w:tc>
        <w:tc>
          <w:tcPr>
            <w:tcW w:type="dxa" w:w="5256"/>
          </w:tcPr>
          <w:p>
            <w:r>
              <w:t>Cannot mark paid.</w:t>
            </w:r>
          </w:p>
        </w:tc>
      </w:tr>
      <w:tr>
        <w:tc>
          <w:tcPr>
            <w:tcW w:type="dxa" w:w="5256"/>
          </w:tcPr>
          <w:p>
            <w:r>
              <w:t>Payment webhook replay</w:t>
            </w:r>
          </w:p>
        </w:tc>
        <w:tc>
          <w:tcPr>
            <w:tcW w:type="dxa" w:w="5256"/>
          </w:tcPr>
          <w:p>
            <w:r>
              <w:t>One state transition.</w:t>
            </w:r>
          </w:p>
        </w:tc>
      </w:tr>
      <w:tr>
        <w:tc>
          <w:tcPr>
            <w:tcW w:type="dxa" w:w="5256"/>
          </w:tcPr>
          <w:p>
            <w:r>
              <w:t>Prompt injection</w:t>
            </w:r>
          </w:p>
        </w:tc>
        <w:tc>
          <w:tcPr>
            <w:tcW w:type="dxa" w:w="5256"/>
          </w:tcPr>
          <w:p>
            <w:r>
              <w:t>Cannot alter authority/rules.</w:t>
            </w:r>
          </w:p>
        </w:tc>
      </w:tr>
      <w:tr>
        <w:tc>
          <w:tcPr>
            <w:tcW w:type="dxa" w:w="5256"/>
          </w:tcPr>
          <w:p>
            <w:r>
              <w:t>Escalation</w:t>
            </w:r>
          </w:p>
        </w:tc>
        <w:tc>
          <w:tcPr>
            <w:tcW w:type="dxa" w:w="5256"/>
          </w:tcPr>
          <w:p>
            <w:r>
              <w:t>Persistent staff case/handoff + customer notice.</w:t>
            </w:r>
          </w:p>
        </w:tc>
      </w:tr>
    </w:tbl>
    <w:p>
      <w:pPr>
        <w:pStyle w:val="Heading1"/>
      </w:pPr>
      <w:r>
        <w:t>32. Implementation sequence</w:t>
      </w:r>
    </w:p>
    <w:p>
      <w:r>
        <w:t>1. Audit current backend, API and database implementation.</w:t>
      </w:r>
    </w:p>
    <w:p>
      <w:r>
        <w:t>2. Map existing case/quote/payment services for reuse.</w:t>
      </w:r>
    </w:p>
    <w:p>
      <w:r>
        <w:t>3. Implement automation capability/rule configuration.</w:t>
      </w:r>
    </w:p>
    <w:p>
      <w:r>
        <w:t>4. Implement Automation Eligibility Decision service.</w:t>
      </w:r>
    </w:p>
    <w:p>
      <w:r>
        <w:t>5. Implement scope generation/validation service.</w:t>
      </w:r>
    </w:p>
    <w:p>
      <w:r>
        <w:t>6. Implement versioned pricing engine.</w:t>
      </w:r>
    </w:p>
    <w:p>
      <w:r>
        <w:t>7. Implement automated case creation and idempotency.</w:t>
      </w:r>
    </w:p>
    <w:p>
      <w:r>
        <w:t>8. Implement automated quote calculation/issuance.</w:t>
      </w:r>
    </w:p>
    <w:p>
      <w:r>
        <w:t>9. Implement payment initiation and reconciliation boundary.</w:t>
      </w:r>
    </w:p>
    <w:p>
      <w:r>
        <w:t>10. Implement escalation service and operations queue integration.</w:t>
      </w:r>
    </w:p>
    <w:p>
      <w:r>
        <w:t>11. Implement audit/observability.</w:t>
      </w:r>
    </w:p>
    <w:p>
      <w:r>
        <w:t>12. Run contract, security, pricing, payment and E2E tests.</w:t>
      </w:r>
    </w:p>
    <w:p>
      <w:r>
        <w:t>13. Enable automation progressively by service/workflow.</w:t>
      </w:r>
    </w:p>
    <w:p>
      <w:pPr>
        <w:pStyle w:val="Heading1"/>
      </w:pPr>
      <w:r>
        <w:t>33. Rollout strategy</w:t>
      </w:r>
    </w:p>
    <w:p>
      <w:pPr>
        <w:pStyle w:val="ListBullet"/>
      </w:pPr>
      <w:r>
        <w:t>Start with deterministic, low-complexity workflows.</w:t>
      </w:r>
    </w:p>
    <w:p>
      <w:pPr>
        <w:pStyle w:val="ListBullet"/>
      </w:pPr>
      <w:r>
        <w:t>Enable A2/A3 before broad A4.</w:t>
      </w:r>
    </w:p>
    <w:p>
      <w:pPr>
        <w:pStyle w:val="ListBullet"/>
      </w:pPr>
      <w:r>
        <w:t>Expand only after quote accuracy, authorization, payment and escalation tests pass.</w:t>
      </w:r>
    </w:p>
    <w:p>
      <w:pPr>
        <w:pStyle w:val="ListBullet"/>
      </w:pPr>
      <w:r>
        <w:t>Keep a kill switch independent of frontend deployment.</w:t>
      </w:r>
    </w:p>
    <w:p>
      <w:pPr>
        <w:pStyle w:val="ListBullet"/>
      </w:pPr>
      <w:r>
        <w:t>Monitor automation outcomes by service.</w:t>
      </w:r>
    </w:p>
    <w:p>
      <w:pPr>
        <w:pStyle w:val="ListBullet"/>
      </w:pPr>
      <w:r>
        <w:t>Review false automation and missed-escalation incidents before increasing scope.</w:t>
      </w:r>
    </w:p>
    <w:p>
      <w:pPr>
        <w:pStyle w:val="Heading1"/>
      </w:pPr>
      <w:r>
        <w:t>34. Definition of done</w:t>
      </w:r>
    </w:p>
    <w:p>
      <w:pPr>
        <w:pStyle w:val="ListBullet"/>
      </w:pPr>
      <w:r>
        <w:t>Automation eligibility is deterministic and auditable.</w:t>
      </w:r>
    </w:p>
    <w:p>
      <w:pPr>
        <w:pStyle w:val="ListBullet"/>
      </w:pPr>
      <w:r>
        <w:t>AI can create eligible authenticated cases through authorized tools.</w:t>
      </w:r>
    </w:p>
    <w:p>
      <w:pPr>
        <w:pStyle w:val="ListBullet"/>
      </w:pPr>
      <w:r>
        <w:t>Scope is validated before pricing.</w:t>
      </w:r>
    </w:p>
    <w:p>
      <w:pPr>
        <w:pStyle w:val="ListBullet"/>
      </w:pPr>
      <w:r>
        <w:t>Pricing uses configured base prices, external costs and multipliers.</w:t>
      </w:r>
    </w:p>
    <w:p>
      <w:pPr>
        <w:pStyle w:val="ListBullet"/>
      </w:pPr>
      <w:r>
        <w:t>AI cannot invent or override price.</w:t>
      </w:r>
    </w:p>
    <w:p>
      <w:pPr>
        <w:pStyle w:val="ListBullet"/>
      </w:pPr>
      <w:r>
        <w:t>Quotes are versioned and tied to scope.</w:t>
      </w:r>
    </w:p>
    <w:p>
      <w:pPr>
        <w:pStyle w:val="ListBullet"/>
      </w:pPr>
      <w:r>
        <w:t>Customer can accept valid automated quotes.</w:t>
      </w:r>
    </w:p>
    <w:p>
      <w:pPr>
        <w:pStyle w:val="ListBullet"/>
      </w:pPr>
      <w:r>
        <w:t>Payment initiation is idempotent and provider-confirmed.</w:t>
      </w:r>
    </w:p>
    <w:p>
      <w:pPr>
        <w:pStyle w:val="ListBullet"/>
      </w:pPr>
      <w:r>
        <w:t>Escalation is persistent and visible to operations.</w:t>
      </w:r>
    </w:p>
    <w:p>
      <w:pPr>
        <w:pStyle w:val="ListBullet"/>
      </w:pPr>
      <w:r>
        <w:t>Customer receives a safe escalation notice.</w:t>
      </w:r>
    </w:p>
    <w:p>
      <w:pPr>
        <w:pStyle w:val="ListBullet"/>
      </w:pPr>
      <w:r>
        <w:t>All consequential automation is audited.</w:t>
      </w:r>
    </w:p>
    <w:p>
      <w:pPr>
        <w:pStyle w:val="ListBullet"/>
      </w:pPr>
      <w:r>
        <w:t>Automation can be disabled by service/workflow.</w:t>
      </w:r>
    </w:p>
    <w:p>
      <w:pPr>
        <w:pStyle w:val="ListBullet"/>
      </w:pPr>
      <w:r>
        <w:t>Frontend/API/database contracts are aligned.</w:t>
      </w:r>
    </w:p>
    <w:p>
      <w:pPr>
        <w:pStyle w:val="Heading1"/>
      </w:pPr>
      <w:r>
        <w:t>35. Source-of-truth rule</w:t>
      </w:r>
    </w:p>
    <w:p>
      <w:r>
        <w:t>The revised AI Concierge v2.0 establishes the target automation behavior. This backend specification translates that behavior into deterministic services and API boundaries. The actual ASOJU repository, database, authentication architecture, payment provider and configured pricing data must be inspected before implementation. Existing infrastructure should be reused where it satisfies these requirements.</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