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2"/>
        </w:rPr>
        <w:t>ASOJU MASTER PRODUCT &amp; ENGINEERING BLUEPRINT</w:t>
      </w:r>
    </w:p>
    <w:p>
      <w:pPr>
        <w:jc w:val="center"/>
      </w:pPr>
      <w:r>
        <w:rPr>
          <w:i/>
        </w:rPr>
        <w:t>Unified product • frontend • AI automation • backend/API • database • operations</w:t>
        <w:br/>
        <w:t>Version 2.0 • 15 August 2026</w:t>
      </w:r>
    </w:p>
    <w:p>
      <w:pPr>
        <w:pStyle w:val="Heading1"/>
      </w:pPr>
      <w:r>
        <w:t>1. Executive definition</w:t>
      </w:r>
    </w:p>
    <w:p>
      <w:r>
        <w:t>ASOJU is designed as an AI-led service orchestration platform. The customer can begin with the AI Concierge without signing in, describe a need naturally, receive structured guidance, and—where the request qualifies for automation—progress through case creation, pricing, quote acceptance and payment with minimal or no human intervention.</w:t>
      </w:r>
    </w:p>
    <w:p>
      <w:r>
        <w:t>Human operations is the controlled fallback and exception-resolution layer. The system should automate as far as configured rules, pricing sources, provider integrations, permissions and service capability safely allow.</w:t>
      </w:r>
    </w:p>
    <w:p>
      <w:pPr>
        <w:pStyle w:val="Heading1"/>
      </w:pPr>
      <w:r>
        <w:t>2. Locked public service architecture</w:t>
      </w:r>
    </w:p>
    <w:tbl>
      <w:tblPr>
        <w:tblStyle w:val="TableGrid"/>
        <w:tblW w:type="auto" w:w="0"/>
        <w:tblLook w:firstColumn="1" w:firstRow="1" w:lastColumn="0" w:lastRow="0" w:noHBand="0" w:noVBand="1" w:val="04A0"/>
      </w:tblPr>
      <w:tblGrid>
        <w:gridCol w:w="3504"/>
        <w:gridCol w:w="3504"/>
        <w:gridCol w:w="3504"/>
      </w:tblGrid>
      <w:tr>
        <w:tc>
          <w:tcPr>
            <w:tcW w:type="dxa" w:w="3504"/>
          </w:tcPr>
          <w:p>
            <w:r>
              <w:t>Key</w:t>
            </w:r>
          </w:p>
        </w:tc>
        <w:tc>
          <w:tcPr>
            <w:tcW w:type="dxa" w:w="3504"/>
          </w:tcPr>
          <w:p>
            <w:r>
              <w:t>Service</w:t>
            </w:r>
          </w:p>
        </w:tc>
        <w:tc>
          <w:tcPr>
            <w:tcW w:type="dxa" w:w="3504"/>
          </w:tcPr>
          <w:p>
            <w:r>
              <w:t>Role</w:t>
            </w:r>
          </w:p>
        </w:tc>
      </w:tr>
      <w:tr>
        <w:tc>
          <w:tcPr>
            <w:tcW w:type="dxa" w:w="3504"/>
          </w:tcPr>
          <w:p>
            <w:r>
              <w:t>ARRIVALS</w:t>
            </w:r>
          </w:p>
        </w:tc>
        <w:tc>
          <w:tcPr>
            <w:tcW w:type="dxa" w:w="3504"/>
          </w:tcPr>
          <w:p>
            <w:r>
              <w:t>ASOJU Arrivals</w:t>
            </w:r>
          </w:p>
        </w:tc>
        <w:tc>
          <w:tcPr>
            <w:tcW w:type="dxa" w:w="3504"/>
          </w:tcPr>
          <w:p>
            <w:r>
              <w:t>Arrival support, including transport/accommodation coordination where configured.</w:t>
            </w:r>
          </w:p>
        </w:tc>
      </w:tr>
      <w:tr>
        <w:tc>
          <w:tcPr>
            <w:tcW w:type="dxa" w:w="3504"/>
          </w:tcPr>
          <w:p>
            <w:r>
              <w:t>INSPECT</w:t>
            </w:r>
          </w:p>
        </w:tc>
        <w:tc>
          <w:tcPr>
            <w:tcW w:type="dxa" w:w="3504"/>
          </w:tcPr>
          <w:p>
            <w:r>
              <w:t>ASOJU Inspect</w:t>
            </w:r>
          </w:p>
        </w:tc>
        <w:tc>
          <w:tcPr>
            <w:tcW w:type="dxa" w:w="3504"/>
          </w:tcPr>
          <w:p>
            <w:r>
              <w:t>Property/asset/site inspection workflows.</w:t>
            </w:r>
          </w:p>
        </w:tc>
      </w:tr>
      <w:tr>
        <w:tc>
          <w:tcPr>
            <w:tcW w:type="dxa" w:w="3504"/>
          </w:tcPr>
          <w:p>
            <w:r>
              <w:t>BUILD</w:t>
            </w:r>
          </w:p>
        </w:tc>
        <w:tc>
          <w:tcPr>
            <w:tcW w:type="dxa" w:w="3504"/>
          </w:tcPr>
          <w:p>
            <w:r>
              <w:t>ASOJU Build</w:t>
            </w:r>
          </w:p>
        </w:tc>
        <w:tc>
          <w:tcPr>
            <w:tcW w:type="dxa" w:w="3504"/>
          </w:tcPr>
          <w:p>
            <w:r>
              <w:t>Construction/project supervision and monitoring.</w:t>
            </w:r>
          </w:p>
        </w:tc>
      </w:tr>
      <w:tr>
        <w:tc>
          <w:tcPr>
            <w:tcW w:type="dxa" w:w="3504"/>
          </w:tcPr>
          <w:p>
            <w:r>
              <w:t>CARE</w:t>
            </w:r>
          </w:p>
        </w:tc>
        <w:tc>
          <w:tcPr>
            <w:tcW w:type="dxa" w:w="3504"/>
          </w:tcPr>
          <w:p>
            <w:r>
              <w:t>ASOJU Care</w:t>
            </w:r>
          </w:p>
        </w:tc>
        <w:tc>
          <w:tcPr>
            <w:tcW w:type="dxa" w:w="3504"/>
          </w:tcPr>
          <w:p>
            <w:r>
              <w:t>Supported family/personal/local representation workflows.</w:t>
            </w:r>
          </w:p>
        </w:tc>
      </w:tr>
      <w:tr>
        <w:tc>
          <w:tcPr>
            <w:tcW w:type="dxa" w:w="3504"/>
          </w:tcPr>
          <w:p>
            <w:r>
              <w:t>VERIFY</w:t>
            </w:r>
          </w:p>
        </w:tc>
        <w:tc>
          <w:tcPr>
            <w:tcW w:type="dxa" w:w="3504"/>
          </w:tcPr>
          <w:p>
            <w:r>
              <w:t>ASOJU Verify</w:t>
            </w:r>
          </w:p>
        </w:tc>
        <w:tc>
          <w:tcPr>
            <w:tcW w:type="dxa" w:w="3504"/>
          </w:tcPr>
          <w:p>
            <w:r>
              <w:t>Configured verification/due-diligence workflows.</w:t>
            </w:r>
          </w:p>
        </w:tc>
      </w:tr>
      <w:tr>
        <w:tc>
          <w:tcPr>
            <w:tcW w:type="dxa" w:w="3504"/>
          </w:tcPr>
          <w:p>
            <w:r>
              <w:t>ASSIST</w:t>
            </w:r>
          </w:p>
        </w:tc>
        <w:tc>
          <w:tcPr>
            <w:tcW w:type="dxa" w:w="3504"/>
          </w:tcPr>
          <w:p>
            <w:r>
              <w:t>ASOJU Assist</w:t>
            </w:r>
          </w:p>
        </w:tc>
        <w:tc>
          <w:tcPr>
            <w:tcW w:type="dxa" w:w="3504"/>
          </w:tcPr>
          <w:p>
            <w:r>
              <w:t>Flexible supported tasks outside the other five services.</w:t>
            </w:r>
          </w:p>
        </w:tc>
      </w:tr>
    </w:tbl>
    <w:p>
      <w:r>
        <w:t>Farewell is excluded from the public menu/service architecture.</w:t>
      </w:r>
    </w:p>
    <w:p>
      <w:pPr>
        <w:pStyle w:val="Heading1"/>
      </w:pPr>
      <w:r>
        <w:t>3. Master architecture</w:t>
      </w:r>
    </w:p>
    <w:p>
      <w:r>
        <w:t>Homepage → AI Concierge → structured request → automation eligibility → authentication → case → scope → pricing engine → quote → acceptance → payment → execution → evidence/report → completion</w:t>
      </w:r>
    </w:p>
    <w:p>
      <w:r>
        <w:t>Exception path: any stage → persistent escalation → operations → resolution → customer update → resume workflow or controlled closure.</w:t>
      </w:r>
    </w:p>
    <w:p>
      <w:pPr>
        <w:pStyle w:val="Heading1"/>
      </w:pPr>
      <w:r>
        <w:t>4. Product experience principles</w:t>
      </w:r>
    </w:p>
    <w:p>
      <w:pPr>
        <w:pStyle w:val="ListBullet"/>
      </w:pPr>
      <w:r>
        <w:t>AI Concierge is the primary low-friction entry point.</w:t>
      </w:r>
    </w:p>
    <w:p>
      <w:pPr>
        <w:pStyle w:val="ListBullet"/>
      </w:pPr>
      <w:r>
        <w:t>Customers do not need to know which service they need before starting.</w:t>
      </w:r>
    </w:p>
    <w:p>
      <w:pPr>
        <w:pStyle w:val="ListBullet"/>
      </w:pPr>
      <w:r>
        <w:t>Ask only necessary clarification questions.</w:t>
      </w:r>
    </w:p>
    <w:p>
      <w:pPr>
        <w:pStyle w:val="ListBullet"/>
      </w:pPr>
      <w:r>
        <w:t>Show the next action clearly.</w:t>
      </w:r>
    </w:p>
    <w:p>
      <w:pPr>
        <w:pStyle w:val="ListBullet"/>
      </w:pPr>
      <w:r>
        <w:t>Automate eligible work rather than routing every request to staff.</w:t>
      </w:r>
    </w:p>
    <w:p>
      <w:pPr>
        <w:pStyle w:val="ListBullet"/>
      </w:pPr>
      <w:r>
        <w:t>Keep pricing, authorization, payment and operational state deterministic.</w:t>
      </w:r>
    </w:p>
    <w:p>
      <w:pPr>
        <w:pStyle w:val="ListBullet"/>
      </w:pPr>
      <w:r>
        <w:t>Use human escalation when automation cannot safely continue.</w:t>
      </w:r>
    </w:p>
    <w:p>
      <w:pPr>
        <w:pStyle w:val="ListBullet"/>
      </w:pPr>
      <w:r>
        <w:t>Never expose internal rules, staff notes, risk scores or proprietary pricing logic.</w:t>
      </w:r>
    </w:p>
    <w:p>
      <w:pPr>
        <w:pStyle w:val="Heading1"/>
      </w:pPr>
      <w:r>
        <w:t>5. Automation maturity</w:t>
      </w:r>
    </w:p>
    <w:tbl>
      <w:tblPr>
        <w:tblStyle w:val="TableGrid"/>
        <w:tblW w:type="auto" w:w="0"/>
        <w:tblLook w:firstColumn="1" w:firstRow="1" w:lastColumn="0" w:lastRow="0" w:noHBand="0" w:noVBand="1" w:val="04A0"/>
      </w:tblPr>
      <w:tblGrid>
        <w:gridCol w:w="5256"/>
        <w:gridCol w:w="5256"/>
      </w:tblGrid>
      <w:tr>
        <w:tc>
          <w:tcPr>
            <w:tcW w:type="dxa" w:w="5256"/>
          </w:tcPr>
          <w:p>
            <w:r>
              <w:t>Level</w:t>
            </w:r>
          </w:p>
        </w:tc>
        <w:tc>
          <w:tcPr>
            <w:tcW w:type="dxa" w:w="5256"/>
          </w:tcPr>
          <w:p>
            <w:r>
              <w:t>System behavior</w:t>
            </w:r>
          </w:p>
        </w:tc>
      </w:tr>
      <w:tr>
        <w:tc>
          <w:tcPr>
            <w:tcW w:type="dxa" w:w="5256"/>
          </w:tcPr>
          <w:p>
            <w:r>
              <w:t>A0</w:t>
            </w:r>
          </w:p>
        </w:tc>
        <w:tc>
          <w:tcPr>
            <w:tcW w:type="dxa" w:w="5256"/>
          </w:tcPr>
          <w:p>
            <w:r>
              <w:t>AI assistance only.</w:t>
            </w:r>
          </w:p>
        </w:tc>
      </w:tr>
      <w:tr>
        <w:tc>
          <w:tcPr>
            <w:tcW w:type="dxa" w:w="5256"/>
          </w:tcPr>
          <w:p>
            <w:r>
              <w:t>A1</w:t>
            </w:r>
          </w:p>
        </w:tc>
        <w:tc>
          <w:tcPr>
            <w:tcW w:type="dxa" w:w="5256"/>
          </w:tcPr>
          <w:p>
            <w:r>
              <w:t>Structured request/scope.</w:t>
            </w:r>
          </w:p>
        </w:tc>
      </w:tr>
      <w:tr>
        <w:tc>
          <w:tcPr>
            <w:tcW w:type="dxa" w:w="5256"/>
          </w:tcPr>
          <w:p>
            <w:r>
              <w:t>A2</w:t>
            </w:r>
          </w:p>
        </w:tc>
        <w:tc>
          <w:tcPr>
            <w:tcW w:type="dxa" w:w="5256"/>
          </w:tcPr>
          <w:p>
            <w:r>
              <w:t>Authenticated automated case creation.</w:t>
            </w:r>
          </w:p>
        </w:tc>
      </w:tr>
      <w:tr>
        <w:tc>
          <w:tcPr>
            <w:tcW w:type="dxa" w:w="5256"/>
          </w:tcPr>
          <w:p>
            <w:r>
              <w:t>A3</w:t>
            </w:r>
          </w:p>
        </w:tc>
        <w:tc>
          <w:tcPr>
            <w:tcW w:type="dxa" w:w="5256"/>
          </w:tcPr>
          <w:p>
            <w:r>
              <w:t>Automated deterministic quote.</w:t>
            </w:r>
          </w:p>
        </w:tc>
      </w:tr>
      <w:tr>
        <w:tc>
          <w:tcPr>
            <w:tcW w:type="dxa" w:w="5256"/>
          </w:tcPr>
          <w:p>
            <w:r>
              <w:t>A4</w:t>
            </w:r>
          </w:p>
        </w:tc>
        <w:tc>
          <w:tcPr>
            <w:tcW w:type="dxa" w:w="5256"/>
          </w:tcPr>
          <w:p>
            <w:r>
              <w:t>Customer acceptance and payment without human intervention.</w:t>
            </w:r>
          </w:p>
        </w:tc>
      </w:tr>
      <w:tr>
        <w:tc>
          <w:tcPr>
            <w:tcW w:type="dxa" w:w="5256"/>
          </w:tcPr>
          <w:p>
            <w:r>
              <w:t>A5</w:t>
            </w:r>
          </w:p>
        </w:tc>
        <w:tc>
          <w:tcPr>
            <w:tcW w:type="dxa" w:w="5256"/>
          </w:tcPr>
          <w:p>
            <w:r>
              <w:t>Selective straight-through fulfilment.</w:t>
            </w:r>
          </w:p>
        </w:tc>
      </w:tr>
    </w:tbl>
    <w:p>
      <w:r>
        <w:t>A4 is the broad target. A5 is enabled only for workflows with reliable operational automation.</w:t>
      </w:r>
    </w:p>
    <w:p>
      <w:pPr>
        <w:pStyle w:val="Heading1"/>
      </w:pPr>
      <w:r>
        <w:t>6. Authority model</w:t>
      </w:r>
    </w:p>
    <w:tbl>
      <w:tblPr>
        <w:tblStyle w:val="TableGrid"/>
        <w:tblW w:type="auto" w:w="0"/>
        <w:tblLook w:firstColumn="1" w:firstRow="1" w:lastColumn="0" w:lastRow="0" w:noHBand="0" w:noVBand="1" w:val="04A0"/>
      </w:tblPr>
      <w:tblGrid>
        <w:gridCol w:w="5256"/>
        <w:gridCol w:w="5256"/>
      </w:tblGrid>
      <w:tr>
        <w:tc>
          <w:tcPr>
            <w:tcW w:type="dxa" w:w="5256"/>
          </w:tcPr>
          <w:p>
            <w:r>
              <w:t>Layer</w:t>
            </w:r>
          </w:p>
        </w:tc>
        <w:tc>
          <w:tcPr>
            <w:tcW w:type="dxa" w:w="5256"/>
          </w:tcPr>
          <w:p>
            <w:r>
              <w:t>Authority</w:t>
            </w:r>
          </w:p>
        </w:tc>
      </w:tr>
      <w:tr>
        <w:tc>
          <w:tcPr>
            <w:tcW w:type="dxa" w:w="5256"/>
          </w:tcPr>
          <w:p>
            <w:r>
              <w:t>AI</w:t>
            </w:r>
          </w:p>
        </w:tc>
        <w:tc>
          <w:tcPr>
            <w:tcW w:type="dxa" w:w="5256"/>
          </w:tcPr>
          <w:p>
            <w:r>
              <w:t>Interpretation, clarification, classification, orchestration.</w:t>
            </w:r>
          </w:p>
        </w:tc>
      </w:tr>
      <w:tr>
        <w:tc>
          <w:tcPr>
            <w:tcW w:type="dxa" w:w="5256"/>
          </w:tcPr>
          <w:p>
            <w:r>
              <w:t>Automation Engine</w:t>
            </w:r>
          </w:p>
        </w:tc>
        <w:tc>
          <w:tcPr>
            <w:tcW w:type="dxa" w:w="5256"/>
          </w:tcPr>
          <w:p>
            <w:r>
              <w:t>Eligibility decision based on configured rules.</w:t>
            </w:r>
          </w:p>
        </w:tc>
      </w:tr>
      <w:tr>
        <w:tc>
          <w:tcPr>
            <w:tcW w:type="dxa" w:w="5256"/>
          </w:tcPr>
          <w:p>
            <w:r>
              <w:t>Scope Engine</w:t>
            </w:r>
          </w:p>
        </w:tc>
        <w:tc>
          <w:tcPr>
            <w:tcW w:type="dxa" w:w="5256"/>
          </w:tcPr>
          <w:p>
            <w:r>
              <w:t>Validated executable/priceable scope.</w:t>
            </w:r>
          </w:p>
        </w:tc>
      </w:tr>
      <w:tr>
        <w:tc>
          <w:tcPr>
            <w:tcW w:type="dxa" w:w="5256"/>
          </w:tcPr>
          <w:p>
            <w:r>
              <w:t>Pricing Engine</w:t>
            </w:r>
          </w:p>
        </w:tc>
        <w:tc>
          <w:tcPr>
            <w:tcW w:type="dxa" w:w="5256"/>
          </w:tcPr>
          <w:p>
            <w:r>
              <w:t>Authoritative quote calculation.</w:t>
            </w:r>
          </w:p>
        </w:tc>
      </w:tr>
      <w:tr>
        <w:tc>
          <w:tcPr>
            <w:tcW w:type="dxa" w:w="5256"/>
          </w:tcPr>
          <w:p>
            <w:r>
              <w:t>Case Service</w:t>
            </w:r>
          </w:p>
        </w:tc>
        <w:tc>
          <w:tcPr>
            <w:tcW w:type="dxa" w:w="5256"/>
          </w:tcPr>
          <w:p>
            <w:r>
              <w:t>Authoritative case state.</w:t>
            </w:r>
          </w:p>
        </w:tc>
      </w:tr>
      <w:tr>
        <w:tc>
          <w:tcPr>
            <w:tcW w:type="dxa" w:w="5256"/>
          </w:tcPr>
          <w:p>
            <w:r>
              <w:t>Payment Service/Provider</w:t>
            </w:r>
          </w:p>
        </w:tc>
        <w:tc>
          <w:tcPr>
            <w:tcW w:type="dxa" w:w="5256"/>
          </w:tcPr>
          <w:p>
            <w:r>
              <w:t>Authoritative financial state.</w:t>
            </w:r>
          </w:p>
        </w:tc>
      </w:tr>
      <w:tr>
        <w:tc>
          <w:tcPr>
            <w:tcW w:type="dxa" w:w="5256"/>
          </w:tcPr>
          <w:p>
            <w:r>
              <w:t>Operations</w:t>
            </w:r>
          </w:p>
        </w:tc>
        <w:tc>
          <w:tcPr>
            <w:tcW w:type="dxa" w:w="5256"/>
          </w:tcPr>
          <w:p>
            <w:r>
              <w:t>Human exception handling and authorized overrides.</w:t>
            </w:r>
          </w:p>
        </w:tc>
      </w:tr>
      <w:tr>
        <w:tc>
          <w:tcPr>
            <w:tcW w:type="dxa" w:w="5256"/>
          </w:tcPr>
          <w:p>
            <w:r>
              <w:t>Database</w:t>
            </w:r>
          </w:p>
        </w:tc>
        <w:tc>
          <w:tcPr>
            <w:tcW w:type="dxa" w:w="5256"/>
          </w:tcPr>
          <w:p>
            <w:r>
              <w:t>Persisted system of record.</w:t>
            </w:r>
          </w:p>
        </w:tc>
      </w:tr>
    </w:tbl>
    <w:p>
      <w:r>
        <w:t>AI is never an unrestricted database, pricing or payment authority.</w:t>
      </w:r>
    </w:p>
    <w:p>
      <w:pPr>
        <w:pStyle w:val="Heading1"/>
      </w:pPr>
      <w:r>
        <w:t>7. Customer journey</w:t>
      </w:r>
    </w:p>
    <w:p>
      <w:r>
        <w:t>1. Customer opens Concierge from the homepage or service context.</w:t>
      </w:r>
    </w:p>
    <w:p>
      <w:r>
        <w:t>2. Customer describes what they need.</w:t>
      </w:r>
    </w:p>
    <w:p>
      <w:r>
        <w:t>3. AI identifies likely service and asks only necessary questions.</w:t>
      </w:r>
    </w:p>
    <w:p>
      <w:r>
        <w:t>4. AI creates a structured request and candidate scope.</w:t>
      </w:r>
    </w:p>
    <w:p>
      <w:r>
        <w:t>5. Backend evaluates automation eligibility.</w:t>
      </w:r>
    </w:p>
    <w:p>
      <w:r>
        <w:t>6. If required, customer authenticates.</w:t>
      </w:r>
    </w:p>
    <w:p>
      <w:r>
        <w:t>7. Eligible request becomes a formal case.</w:t>
      </w:r>
    </w:p>
    <w:p>
      <w:r>
        <w:t>8. Scope is confirmed/validated.</w:t>
      </w:r>
    </w:p>
    <w:p>
      <w:r>
        <w:t>9. Pricing Engine calculates quote from approved inputs.</w:t>
      </w:r>
    </w:p>
    <w:p>
      <w:r>
        <w:t>10. Customer reviews and accepts quote.</w:t>
      </w:r>
    </w:p>
    <w:p>
      <w:r>
        <w:t>11. Payment is initiated through the configured provider.</w:t>
      </w:r>
    </w:p>
    <w:p>
      <w:r>
        <w:t>12. Backend confirms payment.</w:t>
      </w:r>
    </w:p>
    <w:p>
      <w:r>
        <w:t>13. Execution workflow begins.</w:t>
      </w:r>
    </w:p>
    <w:p>
      <w:r>
        <w:t>14. Customer receives status, evidence and reports.</w:t>
      </w:r>
    </w:p>
    <w:p>
      <w:r>
        <w:t>15. Case completes or enters an exception/escalation path.</w:t>
      </w:r>
    </w:p>
    <w:p>
      <w:pPr>
        <w:pStyle w:val="Heading1"/>
      </w:pPr>
      <w:r>
        <w:t>8. AI Concierge architecture</w:t>
      </w:r>
    </w:p>
    <w:tbl>
      <w:tblPr>
        <w:tblStyle w:val="TableGrid"/>
        <w:tblW w:type="auto" w:w="0"/>
        <w:tblLook w:firstColumn="1" w:firstRow="1" w:lastColumn="0" w:lastRow="0" w:noHBand="0" w:noVBand="1" w:val="04A0"/>
      </w:tblPr>
      <w:tblGrid>
        <w:gridCol w:w="5256"/>
        <w:gridCol w:w="5256"/>
      </w:tblGrid>
      <w:tr>
        <w:tc>
          <w:tcPr>
            <w:tcW w:type="dxa" w:w="5256"/>
          </w:tcPr>
          <w:p>
            <w:r>
              <w:t>Component</w:t>
            </w:r>
          </w:p>
        </w:tc>
        <w:tc>
          <w:tcPr>
            <w:tcW w:type="dxa" w:w="5256"/>
          </w:tcPr>
          <w:p>
            <w:r>
              <w:t>Responsibility</w:t>
            </w:r>
          </w:p>
        </w:tc>
      </w:tr>
      <w:tr>
        <w:tc>
          <w:tcPr>
            <w:tcW w:type="dxa" w:w="5256"/>
          </w:tcPr>
          <w:p>
            <w:r>
              <w:t>Concierge UI</w:t>
            </w:r>
          </w:p>
        </w:tc>
        <w:tc>
          <w:tcPr>
            <w:tcW w:type="dxa" w:w="5256"/>
          </w:tcPr>
          <w:p>
            <w:r>
              <w:t>Conversation and customer interaction.</w:t>
            </w:r>
          </w:p>
        </w:tc>
      </w:tr>
      <w:tr>
        <w:tc>
          <w:tcPr>
            <w:tcW w:type="dxa" w:w="5256"/>
          </w:tcPr>
          <w:p>
            <w:r>
              <w:t>AI Orchestrator</w:t>
            </w:r>
          </w:p>
        </w:tc>
        <w:tc>
          <w:tcPr>
            <w:tcW w:type="dxa" w:w="5256"/>
          </w:tcPr>
          <w:p>
            <w:r>
              <w:t>Conversation state, model interaction and tool selection.</w:t>
            </w:r>
          </w:p>
        </w:tc>
      </w:tr>
      <w:tr>
        <w:tc>
          <w:tcPr>
            <w:tcW w:type="dxa" w:w="5256"/>
          </w:tcPr>
          <w:p>
            <w:r>
              <w:t>Policy/context layer</w:t>
            </w:r>
          </w:p>
        </w:tc>
        <w:tc>
          <w:tcPr>
            <w:tcW w:type="dxa" w:w="5256"/>
          </w:tcPr>
          <w:p>
            <w:r>
              <w:t>Product boundaries, service taxonomy and safe context.</w:t>
            </w:r>
          </w:p>
        </w:tc>
      </w:tr>
      <w:tr>
        <w:tc>
          <w:tcPr>
            <w:tcW w:type="dxa" w:w="5256"/>
          </w:tcPr>
          <w:p>
            <w:r>
              <w:t>Structured output validator</w:t>
            </w:r>
          </w:p>
        </w:tc>
        <w:tc>
          <w:tcPr>
            <w:tcW w:type="dxa" w:w="5256"/>
          </w:tcPr>
          <w:p>
            <w:r>
              <w:t>Schema validation.</w:t>
            </w:r>
          </w:p>
        </w:tc>
      </w:tr>
      <w:tr>
        <w:tc>
          <w:tcPr>
            <w:tcW w:type="dxa" w:w="5256"/>
          </w:tcPr>
          <w:p>
            <w:r>
              <w:t>Automation Eligibility Engine</w:t>
            </w:r>
          </w:p>
        </w:tc>
        <w:tc>
          <w:tcPr>
            <w:tcW w:type="dxa" w:w="5256"/>
          </w:tcPr>
          <w:p>
            <w:r>
              <w:t>Deterministic automation decision.</w:t>
            </w:r>
          </w:p>
        </w:tc>
      </w:tr>
      <w:tr>
        <w:tc>
          <w:tcPr>
            <w:tcW w:type="dxa" w:w="5256"/>
          </w:tcPr>
          <w:p>
            <w:r>
              <w:t>Scope Engine</w:t>
            </w:r>
          </w:p>
        </w:tc>
        <w:tc>
          <w:tcPr>
            <w:tcW w:type="dxa" w:w="5256"/>
          </w:tcPr>
          <w:p>
            <w:r>
              <w:t>Structured scope generation/validation.</w:t>
            </w:r>
          </w:p>
        </w:tc>
      </w:tr>
      <w:tr>
        <w:tc>
          <w:tcPr>
            <w:tcW w:type="dxa" w:w="5256"/>
          </w:tcPr>
          <w:p>
            <w:r>
              <w:t>Case Service</w:t>
            </w:r>
          </w:p>
        </w:tc>
        <w:tc>
          <w:tcPr>
            <w:tcW w:type="dxa" w:w="5256"/>
          </w:tcPr>
          <w:p>
            <w:r>
              <w:t>Case creation.</w:t>
            </w:r>
          </w:p>
        </w:tc>
      </w:tr>
      <w:tr>
        <w:tc>
          <w:tcPr>
            <w:tcW w:type="dxa" w:w="5256"/>
          </w:tcPr>
          <w:p>
            <w:r>
              <w:t>Pricing Engine</w:t>
            </w:r>
          </w:p>
        </w:tc>
        <w:tc>
          <w:tcPr>
            <w:tcW w:type="dxa" w:w="5256"/>
          </w:tcPr>
          <w:p>
            <w:r>
              <w:t>Quote calculation.</w:t>
            </w:r>
          </w:p>
        </w:tc>
      </w:tr>
      <w:tr>
        <w:tc>
          <w:tcPr>
            <w:tcW w:type="dxa" w:w="5256"/>
          </w:tcPr>
          <w:p>
            <w:r>
              <w:t>Payment Service</w:t>
            </w:r>
          </w:p>
        </w:tc>
        <w:tc>
          <w:tcPr>
            <w:tcW w:type="dxa" w:w="5256"/>
          </w:tcPr>
          <w:p>
            <w:r>
              <w:t>Payment initiation/reconciliation.</w:t>
            </w:r>
          </w:p>
        </w:tc>
      </w:tr>
      <w:tr>
        <w:tc>
          <w:tcPr>
            <w:tcW w:type="dxa" w:w="5256"/>
          </w:tcPr>
          <w:p>
            <w:r>
              <w:t>Escalation Service</w:t>
            </w:r>
          </w:p>
        </w:tc>
        <w:tc>
          <w:tcPr>
            <w:tcW w:type="dxa" w:w="5256"/>
          </w:tcPr>
          <w:p>
            <w:r>
              <w:t>Human handoff.</w:t>
            </w:r>
          </w:p>
        </w:tc>
      </w:tr>
    </w:tbl>
    <w:p>
      <w:pPr>
        <w:pStyle w:val="Heading1"/>
      </w:pPr>
      <w:r>
        <w:t>9. AI state model</w:t>
      </w:r>
    </w:p>
    <w:tbl>
      <w:tblPr>
        <w:tblStyle w:val="TableGrid"/>
        <w:tblW w:type="auto" w:w="0"/>
        <w:tblLook w:firstColumn="1" w:firstRow="1" w:lastColumn="0" w:lastRow="0" w:noHBand="0" w:noVBand="1" w:val="04A0"/>
      </w:tblPr>
      <w:tblGrid>
        <w:gridCol w:w="5256"/>
        <w:gridCol w:w="5256"/>
      </w:tblGrid>
      <w:tr>
        <w:tc>
          <w:tcPr>
            <w:tcW w:type="dxa" w:w="5256"/>
          </w:tcPr>
          <w:p>
            <w:r>
              <w:t>State</w:t>
            </w:r>
          </w:p>
        </w:tc>
        <w:tc>
          <w:tcPr>
            <w:tcW w:type="dxa" w:w="5256"/>
          </w:tcPr>
          <w:p>
            <w:r>
              <w:t>Meaning</w:t>
            </w:r>
          </w:p>
        </w:tc>
      </w:tr>
      <w:tr>
        <w:tc>
          <w:tcPr>
            <w:tcW w:type="dxa" w:w="5256"/>
          </w:tcPr>
          <w:p>
            <w:r>
              <w:t>IDLE</w:t>
            </w:r>
          </w:p>
        </w:tc>
        <w:tc>
          <w:tcPr>
            <w:tcW w:type="dxa" w:w="5256"/>
          </w:tcPr>
          <w:p>
            <w:r>
              <w:t>No active transaction.</w:t>
            </w:r>
          </w:p>
        </w:tc>
      </w:tr>
      <w:tr>
        <w:tc>
          <w:tcPr>
            <w:tcW w:type="dxa" w:w="5256"/>
          </w:tcPr>
          <w:p>
            <w:r>
              <w:t>CLARIFYING</w:t>
            </w:r>
          </w:p>
        </w:tc>
        <w:tc>
          <w:tcPr>
            <w:tcW w:type="dxa" w:w="5256"/>
          </w:tcPr>
          <w:p>
            <w:r>
              <w:t>Collecting required information.</w:t>
            </w:r>
          </w:p>
        </w:tc>
      </w:tr>
      <w:tr>
        <w:tc>
          <w:tcPr>
            <w:tcW w:type="dxa" w:w="5256"/>
          </w:tcPr>
          <w:p>
            <w:r>
              <w:t>STRUCTURED</w:t>
            </w:r>
          </w:p>
        </w:tc>
        <w:tc>
          <w:tcPr>
            <w:tcW w:type="dxa" w:w="5256"/>
          </w:tcPr>
          <w:p>
            <w:r>
              <w:t>Request is structured.</w:t>
            </w:r>
          </w:p>
        </w:tc>
      </w:tr>
      <w:tr>
        <w:tc>
          <w:tcPr>
            <w:tcW w:type="dxa" w:w="5256"/>
          </w:tcPr>
          <w:p>
            <w:r>
              <w:t>AUTH_REQUIRED</w:t>
            </w:r>
          </w:p>
        </w:tc>
        <w:tc>
          <w:tcPr>
            <w:tcW w:type="dxa" w:w="5256"/>
          </w:tcPr>
          <w:p>
            <w:r>
              <w:t>Authentication required.</w:t>
            </w:r>
          </w:p>
        </w:tc>
      </w:tr>
      <w:tr>
        <w:tc>
          <w:tcPr>
            <w:tcW w:type="dxa" w:w="5256"/>
          </w:tcPr>
          <w:p>
            <w:r>
              <w:t>AUTOMATING</w:t>
            </w:r>
          </w:p>
        </w:tc>
        <w:tc>
          <w:tcPr>
            <w:tcW w:type="dxa" w:w="5256"/>
          </w:tcPr>
          <w:p>
            <w:r>
              <w:t>Backend transaction is processing.</w:t>
            </w:r>
          </w:p>
        </w:tc>
      </w:tr>
      <w:tr>
        <w:tc>
          <w:tcPr>
            <w:tcW w:type="dxa" w:w="5256"/>
          </w:tcPr>
          <w:p>
            <w:r>
              <w:t>CASE_CREATED</w:t>
            </w:r>
          </w:p>
        </w:tc>
        <w:tc>
          <w:tcPr>
            <w:tcW w:type="dxa" w:w="5256"/>
          </w:tcPr>
          <w:p>
            <w:r>
              <w:t>Case exists.</w:t>
            </w:r>
          </w:p>
        </w:tc>
      </w:tr>
      <w:tr>
        <w:tc>
          <w:tcPr>
            <w:tcW w:type="dxa" w:w="5256"/>
          </w:tcPr>
          <w:p>
            <w:r>
              <w:t>QUOTE_CALCULATING</w:t>
            </w:r>
          </w:p>
        </w:tc>
        <w:tc>
          <w:tcPr>
            <w:tcW w:type="dxa" w:w="5256"/>
          </w:tcPr>
          <w:p>
            <w:r>
              <w:t>Pricing in progress.</w:t>
            </w:r>
          </w:p>
        </w:tc>
      </w:tr>
      <w:tr>
        <w:tc>
          <w:tcPr>
            <w:tcW w:type="dxa" w:w="5256"/>
          </w:tcPr>
          <w:p>
            <w:r>
              <w:t>QUOTE_READY</w:t>
            </w:r>
          </w:p>
        </w:tc>
        <w:tc>
          <w:tcPr>
            <w:tcW w:type="dxa" w:w="5256"/>
          </w:tcPr>
          <w:p>
            <w:r>
              <w:t>Quote available.</w:t>
            </w:r>
          </w:p>
        </w:tc>
      </w:tr>
      <w:tr>
        <w:tc>
          <w:tcPr>
            <w:tcW w:type="dxa" w:w="5256"/>
          </w:tcPr>
          <w:p>
            <w:r>
              <w:t>PAYMENT_REQUIRED</w:t>
            </w:r>
          </w:p>
        </w:tc>
        <w:tc>
          <w:tcPr>
            <w:tcW w:type="dxa" w:w="5256"/>
          </w:tcPr>
          <w:p>
            <w:r>
              <w:t>Customer action required.</w:t>
            </w:r>
          </w:p>
        </w:tc>
      </w:tr>
      <w:tr>
        <w:tc>
          <w:tcPr>
            <w:tcW w:type="dxa" w:w="5256"/>
          </w:tcPr>
          <w:p>
            <w:r>
              <w:t>PAID</w:t>
            </w:r>
          </w:p>
        </w:tc>
        <w:tc>
          <w:tcPr>
            <w:tcW w:type="dxa" w:w="5256"/>
          </w:tcPr>
          <w:p>
            <w:r>
              <w:t>Payment confirmed.</w:t>
            </w:r>
          </w:p>
        </w:tc>
      </w:tr>
      <w:tr>
        <w:tc>
          <w:tcPr>
            <w:tcW w:type="dxa" w:w="5256"/>
          </w:tcPr>
          <w:p>
            <w:r>
              <w:t>ESCALATION_REQUIRED</w:t>
            </w:r>
          </w:p>
        </w:tc>
        <w:tc>
          <w:tcPr>
            <w:tcW w:type="dxa" w:w="5256"/>
          </w:tcPr>
          <w:p>
            <w:r>
              <w:t>Human review required.</w:t>
            </w:r>
          </w:p>
        </w:tc>
      </w:tr>
      <w:tr>
        <w:tc>
          <w:tcPr>
            <w:tcW w:type="dxa" w:w="5256"/>
          </w:tcPr>
          <w:p>
            <w:r>
              <w:t>COMPLETED</w:t>
            </w:r>
          </w:p>
        </w:tc>
        <w:tc>
          <w:tcPr>
            <w:tcW w:type="dxa" w:w="5256"/>
          </w:tcPr>
          <w:p>
            <w:r>
              <w:t>Workflow complete.</w:t>
            </w:r>
          </w:p>
        </w:tc>
      </w:tr>
      <w:tr>
        <w:tc>
          <w:tcPr>
            <w:tcW w:type="dxa" w:w="5256"/>
          </w:tcPr>
          <w:p>
            <w:r>
              <w:t>ERROR</w:t>
            </w:r>
          </w:p>
        </w:tc>
        <w:tc>
          <w:tcPr>
            <w:tcW w:type="dxa" w:w="5256"/>
          </w:tcPr>
          <w:p>
            <w:r>
              <w:t>Recoverable technical failure.</w:t>
            </w:r>
          </w:p>
        </w:tc>
      </w:tr>
    </w:tbl>
    <w:p>
      <w:pPr>
        <w:pStyle w:val="Heading1"/>
      </w:pPr>
      <w:r>
        <w:t>10. Automation eligibility</w:t>
      </w:r>
    </w:p>
    <w:tbl>
      <w:tblPr>
        <w:tblStyle w:val="TableGrid"/>
        <w:tblW w:type="auto" w:w="0"/>
        <w:tblLook w:firstColumn="1" w:firstRow="1" w:lastColumn="0" w:lastRow="0" w:noHBand="0" w:noVBand="1" w:val="04A0"/>
      </w:tblPr>
      <w:tblGrid>
        <w:gridCol w:w="5256"/>
        <w:gridCol w:w="5256"/>
      </w:tblGrid>
      <w:tr>
        <w:tc>
          <w:tcPr>
            <w:tcW w:type="dxa" w:w="5256"/>
          </w:tcPr>
          <w:p>
            <w:r>
              <w:t>Decision</w:t>
            </w:r>
          </w:p>
        </w:tc>
        <w:tc>
          <w:tcPr>
            <w:tcW w:type="dxa" w:w="5256"/>
          </w:tcPr>
          <w:p>
            <w:r>
              <w:t>Meaning</w:t>
            </w:r>
          </w:p>
        </w:tc>
      </w:tr>
      <w:tr>
        <w:tc>
          <w:tcPr>
            <w:tcW w:type="dxa" w:w="5256"/>
          </w:tcPr>
          <w:p>
            <w:r>
              <w:t>AUTO</w:t>
            </w:r>
          </w:p>
        </w:tc>
        <w:tc>
          <w:tcPr>
            <w:tcW w:type="dxa" w:w="5256"/>
          </w:tcPr>
          <w:p>
            <w:r>
              <w:t>Proceed automatically.</w:t>
            </w:r>
          </w:p>
        </w:tc>
      </w:tr>
      <w:tr>
        <w:tc>
          <w:tcPr>
            <w:tcW w:type="dxa" w:w="5256"/>
          </w:tcPr>
          <w:p>
            <w:r>
              <w:t>CUSTOMER_INPUT</w:t>
            </w:r>
          </w:p>
        </w:tc>
        <w:tc>
          <w:tcPr>
            <w:tcW w:type="dxa" w:w="5256"/>
          </w:tcPr>
          <w:p>
            <w:r>
              <w:t>Ask customer for missing information.</w:t>
            </w:r>
          </w:p>
        </w:tc>
      </w:tr>
      <w:tr>
        <w:tc>
          <w:tcPr>
            <w:tcW w:type="dxa" w:w="5256"/>
          </w:tcPr>
          <w:p>
            <w:r>
              <w:t>ESCALATE</w:t>
            </w:r>
          </w:p>
        </w:tc>
        <w:tc>
          <w:tcPr>
            <w:tcW w:type="dxa" w:w="5256"/>
          </w:tcPr>
          <w:p>
            <w:r>
              <w:t>Operations review required.</w:t>
            </w:r>
          </w:p>
        </w:tc>
      </w:tr>
      <w:tr>
        <w:tc>
          <w:tcPr>
            <w:tcW w:type="dxa" w:w="5256"/>
          </w:tcPr>
          <w:p>
            <w:r>
              <w:t>UNSUPPORTED</w:t>
            </w:r>
          </w:p>
        </w:tc>
        <w:tc>
          <w:tcPr>
            <w:tcW w:type="dxa" w:w="5256"/>
          </w:tcPr>
          <w:p>
            <w:r>
              <w:t>Request not supported.</w:t>
            </w:r>
          </w:p>
        </w:tc>
      </w:tr>
      <w:tr>
        <w:tc>
          <w:tcPr>
            <w:tcW w:type="dxa" w:w="5256"/>
          </w:tcPr>
          <w:p>
            <w:r>
              <w:t>BLOCKED</w:t>
            </w:r>
          </w:p>
        </w:tc>
        <w:tc>
          <w:tcPr>
            <w:tcW w:type="dxa" w:w="5256"/>
          </w:tcPr>
          <w:p>
            <w:r>
              <w:t>Policy, availability, authorization or dependency prevents progress.</w:t>
            </w:r>
          </w:p>
        </w:tc>
      </w:tr>
    </w:tbl>
    <w:p>
      <w:pPr>
        <w:pStyle w:val="ListBullet"/>
      </w:pPr>
      <w:r>
        <w:t>Service active.</w:t>
      </w:r>
    </w:p>
    <w:p>
      <w:pPr>
        <w:pStyle w:val="ListBullet"/>
      </w:pPr>
      <w:r>
        <w:t>Workflow supported.</w:t>
      </w:r>
    </w:p>
    <w:p>
      <w:pPr>
        <w:pStyle w:val="ListBullet"/>
      </w:pPr>
      <w:r>
        <w:t>Location/coverage valid.</w:t>
      </w:r>
    </w:p>
    <w:p>
      <w:pPr>
        <w:pStyle w:val="ListBullet"/>
      </w:pPr>
      <w:r>
        <w:t>Required information complete.</w:t>
      </w:r>
    </w:p>
    <w:p>
      <w:pPr>
        <w:pStyle w:val="ListBullet"/>
      </w:pPr>
      <w:r>
        <w:t>Scope structured and valid.</w:t>
      </w:r>
    </w:p>
    <w:p>
      <w:pPr>
        <w:pStyle w:val="ListBullet"/>
      </w:pPr>
      <w:r>
        <w:t>Pricing inputs available.</w:t>
      </w:r>
    </w:p>
    <w:p>
      <w:pPr>
        <w:pStyle w:val="ListBullet"/>
      </w:pPr>
      <w:r>
        <w:t>External/provider costs available when required.</w:t>
      </w:r>
    </w:p>
    <w:p>
      <w:pPr>
        <w:pStyle w:val="ListBullet"/>
      </w:pPr>
      <w:r>
        <w:t>No escalation rule triggered.</w:t>
      </w:r>
    </w:p>
    <w:p>
      <w:pPr>
        <w:pStyle w:val="ListBullet"/>
      </w:pPr>
      <w:r>
        <w:t>Authentication present before formal transaction.</w:t>
      </w:r>
    </w:p>
    <w:p>
      <w:pPr>
        <w:pStyle w:val="ListBullet"/>
      </w:pPr>
      <w:r>
        <w:t>Policy/risk conditions permit automation.</w:t>
      </w:r>
    </w:p>
    <w:p>
      <w:pPr>
        <w:pStyle w:val="Heading1"/>
      </w:pPr>
      <w:r>
        <w:t>11. Escalation architecture</w:t>
      </w:r>
    </w:p>
    <w:p>
      <w:r>
        <w:t>Escalation is a persisted operational domain, not merely a chatbot message.</w:t>
      </w:r>
    </w:p>
    <w:p>
      <w:pPr>
        <w:pStyle w:val="ListBullet"/>
      </w:pPr>
      <w:r>
        <w:t>Persist escalation reason category.</w:t>
      </w:r>
    </w:p>
    <w:p>
      <w:pPr>
        <w:pStyle w:val="ListBullet"/>
      </w:pPr>
      <w:r>
        <w:t>Preserve structured handoff.</w:t>
      </w:r>
    </w:p>
    <w:p>
      <w:pPr>
        <w:pStyle w:val="ListBullet"/>
      </w:pPr>
      <w:r>
        <w:t>Assign to operations where appropriate.</w:t>
      </w:r>
    </w:p>
    <w:p>
      <w:pPr>
        <w:pStyle w:val="ListBullet"/>
      </w:pPr>
      <w:r>
        <w:t>Show customer-safe status.</w:t>
      </w:r>
    </w:p>
    <w:p>
      <w:pPr>
        <w:pStyle w:val="ListBullet"/>
      </w:pPr>
      <w:r>
        <w:t>Allow staff resolution/rework.</w:t>
      </w:r>
    </w:p>
    <w:p>
      <w:pPr>
        <w:pStyle w:val="ListBullet"/>
      </w:pPr>
      <w:r>
        <w:t>Resume automation when prerequisites are restored.</w:t>
      </w:r>
    </w:p>
    <w:p>
      <w:r>
        <w:t>Customer-facing language should communicate the next step without revealing internal thresholds or risk scores.</w:t>
      </w:r>
    </w:p>
    <w:p>
      <w:pPr>
        <w:pStyle w:val="Heading1"/>
      </w:pPr>
      <w:r>
        <w:t>12. Pricing architecture</w:t>
      </w:r>
    </w:p>
    <w:p>
      <w:r>
        <w:t>Pricing must be administrator-controlled and deterministic.</w:t>
      </w:r>
    </w:p>
    <w:tbl>
      <w:tblPr>
        <w:tblStyle w:val="TableGrid"/>
        <w:tblW w:type="auto" w:w="0"/>
        <w:tblLook w:firstColumn="1" w:firstRow="1" w:lastColumn="0" w:lastRow="0" w:noHBand="0" w:noVBand="1" w:val="04A0"/>
      </w:tblPr>
      <w:tblGrid>
        <w:gridCol w:w="5256"/>
        <w:gridCol w:w="5256"/>
      </w:tblGrid>
      <w:tr>
        <w:tc>
          <w:tcPr>
            <w:tcW w:type="dxa" w:w="5256"/>
          </w:tcPr>
          <w:p>
            <w:r>
              <w:t>Input</w:t>
            </w:r>
          </w:p>
        </w:tc>
        <w:tc>
          <w:tcPr>
            <w:tcW w:type="dxa" w:w="5256"/>
          </w:tcPr>
          <w:p>
            <w:r>
              <w:t>Purpose</w:t>
            </w:r>
          </w:p>
        </w:tc>
      </w:tr>
      <w:tr>
        <w:tc>
          <w:tcPr>
            <w:tcW w:type="dxa" w:w="5256"/>
          </w:tcPr>
          <w:p>
            <w:r>
              <w:t>Base price</w:t>
            </w:r>
          </w:p>
        </w:tc>
        <w:tc>
          <w:tcPr>
            <w:tcW w:type="dxa" w:w="5256"/>
          </w:tcPr>
          <w:p>
            <w:r>
              <w:t>Starting charge.</w:t>
            </w:r>
          </w:p>
        </w:tc>
      </w:tr>
      <w:tr>
        <w:tc>
          <w:tcPr>
            <w:tcW w:type="dxa" w:w="5256"/>
          </w:tcPr>
          <w:p>
            <w:r>
              <w:t>Unit/quantity</w:t>
            </w:r>
          </w:p>
        </w:tc>
        <w:tc>
          <w:tcPr>
            <w:tcW w:type="dxa" w:w="5256"/>
          </w:tcPr>
          <w:p>
            <w:r>
              <w:t>Per unit calculation.</w:t>
            </w:r>
          </w:p>
        </w:tc>
      </w:tr>
      <w:tr>
        <w:tc>
          <w:tcPr>
            <w:tcW w:type="dxa" w:w="5256"/>
          </w:tcPr>
          <w:p>
            <w:r>
              <w:t>Location multiplier</w:t>
            </w:r>
          </w:p>
        </w:tc>
        <w:tc>
          <w:tcPr>
            <w:tcW w:type="dxa" w:w="5256"/>
          </w:tcPr>
          <w:p>
            <w:r>
              <w:t>Geographic adjustment.</w:t>
            </w:r>
          </w:p>
        </w:tc>
      </w:tr>
      <w:tr>
        <w:tc>
          <w:tcPr>
            <w:tcW w:type="dxa" w:w="5256"/>
          </w:tcPr>
          <w:p>
            <w:r>
              <w:t>Urgency multiplier</w:t>
            </w:r>
          </w:p>
        </w:tc>
        <w:tc>
          <w:tcPr>
            <w:tcW w:type="dxa" w:w="5256"/>
          </w:tcPr>
          <w:p>
            <w:r>
              <w:t>Timing adjustment.</w:t>
            </w:r>
          </w:p>
        </w:tc>
      </w:tr>
      <w:tr>
        <w:tc>
          <w:tcPr>
            <w:tcW w:type="dxa" w:w="5256"/>
          </w:tcPr>
          <w:p>
            <w:r>
              <w:t>Complexity multiplier</w:t>
            </w:r>
          </w:p>
        </w:tc>
        <w:tc>
          <w:tcPr>
            <w:tcW w:type="dxa" w:w="5256"/>
          </w:tcPr>
          <w:p>
            <w:r>
              <w:t>Scope adjustment.</w:t>
            </w:r>
          </w:p>
        </w:tc>
      </w:tr>
      <w:tr>
        <w:tc>
          <w:tcPr>
            <w:tcW w:type="dxa" w:w="5256"/>
          </w:tcPr>
          <w:p>
            <w:r>
              <w:t>Weekend/holiday multiplier</w:t>
            </w:r>
          </w:p>
        </w:tc>
        <w:tc>
          <w:tcPr>
            <w:tcW w:type="dxa" w:w="5256"/>
          </w:tcPr>
          <w:p>
            <w:r>
              <w:t>Calendar adjustment.</w:t>
            </w:r>
          </w:p>
        </w:tc>
      </w:tr>
      <w:tr>
        <w:tc>
          <w:tcPr>
            <w:tcW w:type="dxa" w:w="5256"/>
          </w:tcPr>
          <w:p>
            <w:r>
              <w:t>External/provider cost</w:t>
            </w:r>
          </w:p>
        </w:tc>
        <w:tc>
          <w:tcPr>
            <w:tcW w:type="dxa" w:w="5256"/>
          </w:tcPr>
          <w:p>
            <w:r>
              <w:t>Approved external source.</w:t>
            </w:r>
          </w:p>
        </w:tc>
      </w:tr>
      <w:tr>
        <w:tc>
          <w:tcPr>
            <w:tcW w:type="dxa" w:w="5256"/>
          </w:tcPr>
          <w:p>
            <w:r>
              <w:t>Transport/accommodation cost</w:t>
            </w:r>
          </w:p>
        </w:tc>
        <w:tc>
          <w:tcPr>
            <w:tcW w:type="dxa" w:w="5256"/>
          </w:tcPr>
          <w:p>
            <w:r>
              <w:t>Approved configured/integrated cost.</w:t>
            </w:r>
          </w:p>
        </w:tc>
      </w:tr>
      <w:tr>
        <w:tc>
          <w:tcPr>
            <w:tcW w:type="dxa" w:w="5256"/>
          </w:tcPr>
          <w:p>
            <w:r>
              <w:t>Tax</w:t>
            </w:r>
          </w:p>
        </w:tc>
        <w:tc>
          <w:tcPr>
            <w:tcW w:type="dxa" w:w="5256"/>
          </w:tcPr>
          <w:p>
            <w:r>
              <w:t>Configured tax.</w:t>
            </w:r>
          </w:p>
        </w:tc>
      </w:tr>
      <w:tr>
        <w:tc>
          <w:tcPr>
            <w:tcW w:type="dxa" w:w="5256"/>
          </w:tcPr>
          <w:p>
            <w:r>
              <w:t>Discount</w:t>
            </w:r>
          </w:p>
        </w:tc>
        <w:tc>
          <w:tcPr>
            <w:tcW w:type="dxa" w:w="5256"/>
          </w:tcPr>
          <w:p>
            <w:r>
              <w:t>Approved discount rule.</w:t>
            </w:r>
          </w:p>
        </w:tc>
      </w:tr>
    </w:tbl>
    <w:p>
      <w:r>
        <w:t>Logical formula: applicable base/unit charges × quantity/multipliers + approved external costs + taxes − approved discounts.</w:t>
      </w:r>
    </w:p>
    <w:p>
      <w:r>
        <w:t>The AI can explain a quote; it cannot invent, alter or become the source of the price.</w:t>
      </w:r>
    </w:p>
    <w:p>
      <w:pPr>
        <w:pStyle w:val="Heading1"/>
      </w:pPr>
      <w:r>
        <w:t>13. Pricing governance</w:t>
      </w:r>
    </w:p>
    <w:p>
      <w:pPr>
        <w:pStyle w:val="ListBullet"/>
      </w:pPr>
      <w:r>
        <w:t>Versioned price books.</w:t>
      </w:r>
    </w:p>
    <w:p>
      <w:pPr>
        <w:pStyle w:val="ListBullet"/>
      </w:pPr>
      <w:r>
        <w:t>Effective dates.</w:t>
      </w:r>
    </w:p>
    <w:p>
      <w:pPr>
        <w:pStyle w:val="ListBullet"/>
      </w:pPr>
      <w:r>
        <w:t>Priority/conflict resolution.</w:t>
      </w:r>
    </w:p>
    <w:p>
      <w:pPr>
        <w:pStyle w:val="ListBullet"/>
      </w:pPr>
      <w:r>
        <w:t>Auditable pricing rules.</w:t>
      </w:r>
    </w:p>
    <w:p>
      <w:pPr>
        <w:pStyle w:val="ListBullet"/>
      </w:pPr>
      <w:r>
        <w:t>Historical quote reproducibility.</w:t>
      </w:r>
    </w:p>
    <w:p>
      <w:pPr>
        <w:pStyle w:val="ListBullet"/>
      </w:pPr>
      <w:r>
        <w:t>Authorized manual overrides only.</w:t>
      </w:r>
    </w:p>
    <w:p>
      <w:pPr>
        <w:pStyle w:val="ListBullet"/>
      </w:pPr>
      <w:r>
        <w:t>Unknown required price → escalation/block, never guess.</w:t>
      </w:r>
    </w:p>
    <w:p>
      <w:pPr>
        <w:pStyle w:val="Heading1"/>
      </w:pPr>
      <w:r>
        <w:t>14. Quote architecture</w:t>
      </w:r>
    </w:p>
    <w:p>
      <w:pPr>
        <w:pStyle w:val="ListBullet"/>
      </w:pPr>
      <w:r>
        <w:t>Quote references exact scope version.</w:t>
      </w:r>
    </w:p>
    <w:p>
      <w:pPr>
        <w:pStyle w:val="ListBullet"/>
      </w:pPr>
      <w:r>
        <w:t>Quote references pricing version.</w:t>
      </w:r>
    </w:p>
    <w:p>
      <w:pPr>
        <w:pStyle w:val="ListBullet"/>
      </w:pPr>
      <w:r>
        <w:t>Line items preserve internal source traceability.</w:t>
      </w:r>
    </w:p>
    <w:p>
      <w:pPr>
        <w:pStyle w:val="ListBullet"/>
      </w:pPr>
      <w:r>
        <w:t>Quote is server-calculated.</w:t>
      </w:r>
    </w:p>
    <w:p>
      <w:pPr>
        <w:pStyle w:val="ListBullet"/>
      </w:pPr>
      <w:r>
        <w:t>Accepted/issued quote is immutable or versioned.</w:t>
      </w:r>
    </w:p>
    <w:p>
      <w:pPr>
        <w:pStyle w:val="ListBullet"/>
      </w:pPr>
      <w:r>
        <w:t>Material scope/pricing change produces a new quote/version.</w:t>
      </w:r>
    </w:p>
    <w:p>
      <w:pPr>
        <w:pStyle w:val="ListBullet"/>
      </w:pPr>
      <w:r>
        <w:t>Quote validity is explicit.</w:t>
      </w:r>
    </w:p>
    <w:p>
      <w:pPr>
        <w:pStyle w:val="Heading1"/>
      </w:pPr>
      <w:r>
        <w:t>15. Payment architecture</w:t>
      </w:r>
    </w:p>
    <w:p>
      <w:r>
        <w:t>Quote accepted → server creates payment transaction → provider interaction → verified provider event → payment reconciled → case advances.</w:t>
      </w:r>
    </w:p>
    <w:p>
      <w:pPr>
        <w:pStyle w:val="ListBullet"/>
      </w:pPr>
      <w:r>
        <w:t>Payment initiation is idempotent.</w:t>
      </w:r>
    </w:p>
    <w:p>
      <w:pPr>
        <w:pStyle w:val="ListBullet"/>
      </w:pPr>
      <w:r>
        <w:t>Amount must equal authoritative quote.</w:t>
      </w:r>
    </w:p>
    <w:p>
      <w:pPr>
        <w:pStyle w:val="ListBullet"/>
      </w:pPr>
      <w:r>
        <w:t>Browser return is not authoritative.</w:t>
      </w:r>
    </w:p>
    <w:p>
      <w:pPr>
        <w:pStyle w:val="ListBullet"/>
      </w:pPr>
      <w:r>
        <w:t>Provider/webhook confirmation controls success.</w:t>
      </w:r>
    </w:p>
    <w:p>
      <w:pPr>
        <w:pStyle w:val="ListBullet"/>
      </w:pPr>
      <w:r>
        <w:t>Payment mismatch enters reconciliation rather than false success.</w:t>
      </w:r>
    </w:p>
    <w:p>
      <w:pPr>
        <w:pStyle w:val="Heading1"/>
      </w:pPr>
      <w:r>
        <w:t>16. Database/domain model</w:t>
      </w:r>
    </w:p>
    <w:tbl>
      <w:tblPr>
        <w:tblStyle w:val="TableGrid"/>
        <w:tblW w:type="auto" w:w="0"/>
        <w:tblLook w:firstColumn="1" w:firstRow="1" w:lastColumn="0" w:lastRow="0" w:noHBand="0" w:noVBand="1" w:val="04A0"/>
      </w:tblPr>
      <w:tblGrid>
        <w:gridCol w:w="5256"/>
        <w:gridCol w:w="5256"/>
      </w:tblGrid>
      <w:tr>
        <w:tc>
          <w:tcPr>
            <w:tcW w:type="dxa" w:w="5256"/>
          </w:tcPr>
          <w:p>
            <w:r>
              <w:t>Domain</w:t>
            </w:r>
          </w:p>
        </w:tc>
        <w:tc>
          <w:tcPr>
            <w:tcW w:type="dxa" w:w="5256"/>
          </w:tcPr>
          <w:p>
            <w:r>
              <w:t>Core entities</w:t>
            </w:r>
          </w:p>
        </w:tc>
      </w:tr>
      <w:tr>
        <w:tc>
          <w:tcPr>
            <w:tcW w:type="dxa" w:w="5256"/>
          </w:tcPr>
          <w:p>
            <w:r>
              <w:t>Identity</w:t>
            </w:r>
          </w:p>
        </w:tc>
        <w:tc>
          <w:tcPr>
            <w:tcW w:type="dxa" w:w="5256"/>
          </w:tcPr>
          <w:p>
            <w:r>
              <w:t>User, UserProfile, CaseParticipant.</w:t>
            </w:r>
          </w:p>
        </w:tc>
      </w:tr>
      <w:tr>
        <w:tc>
          <w:tcPr>
            <w:tcW w:type="dxa" w:w="5256"/>
          </w:tcPr>
          <w:p>
            <w:r>
              <w:t>Service</w:t>
            </w:r>
          </w:p>
        </w:tc>
        <w:tc>
          <w:tcPr>
            <w:tcW w:type="dxa" w:w="5256"/>
          </w:tcPr>
          <w:p>
            <w:r>
              <w:t>Service, AutomationCapability.</w:t>
            </w:r>
          </w:p>
        </w:tc>
      </w:tr>
      <w:tr>
        <w:tc>
          <w:tcPr>
            <w:tcW w:type="dxa" w:w="5256"/>
          </w:tcPr>
          <w:p>
            <w:r>
              <w:t>AI</w:t>
            </w:r>
          </w:p>
        </w:tc>
        <w:tc>
          <w:tcPr>
            <w:tcW w:type="dxa" w:w="5256"/>
          </w:tcPr>
          <w:p>
            <w:r>
              <w:t>ConciergeSession, ConciergeMessage, StructuredRequest.</w:t>
            </w:r>
          </w:p>
        </w:tc>
      </w:tr>
      <w:tr>
        <w:tc>
          <w:tcPr>
            <w:tcW w:type="dxa" w:w="5256"/>
          </w:tcPr>
          <w:p>
            <w:r>
              <w:t>Automation</w:t>
            </w:r>
          </w:p>
        </w:tc>
        <w:tc>
          <w:tcPr>
            <w:tcW w:type="dxa" w:w="5256"/>
          </w:tcPr>
          <w:p>
            <w:r>
              <w:t>AutomationRule, AutomationDecision, Escalation.</w:t>
            </w:r>
          </w:p>
        </w:tc>
      </w:tr>
      <w:tr>
        <w:tc>
          <w:tcPr>
            <w:tcW w:type="dxa" w:w="5256"/>
          </w:tcPr>
          <w:p>
            <w:r>
              <w:t>Case</w:t>
            </w:r>
          </w:p>
        </w:tc>
        <w:tc>
          <w:tcPr>
            <w:tcW w:type="dxa" w:w="5256"/>
          </w:tcPr>
          <w:p>
            <w:r>
              <w:t>Case, CaseScope, CaseTask, ExecutionAssignment, ScheduleItem.</w:t>
            </w:r>
          </w:p>
        </w:tc>
      </w:tr>
      <w:tr>
        <w:tc>
          <w:tcPr>
            <w:tcW w:type="dxa" w:w="5256"/>
          </w:tcPr>
          <w:p>
            <w:r>
              <w:t>Pricing</w:t>
            </w:r>
          </w:p>
        </w:tc>
        <w:tc>
          <w:tcPr>
            <w:tcW w:type="dxa" w:w="5256"/>
          </w:tcPr>
          <w:p>
            <w:r>
              <w:t>PriceBook, PriceRule, MultiplierRule, ExternalCostRule, DiscountRule.</w:t>
            </w:r>
          </w:p>
        </w:tc>
      </w:tr>
      <w:tr>
        <w:tc>
          <w:tcPr>
            <w:tcW w:type="dxa" w:w="5256"/>
          </w:tcPr>
          <w:p>
            <w:r>
              <w:t>Commercial</w:t>
            </w:r>
          </w:p>
        </w:tc>
        <w:tc>
          <w:tcPr>
            <w:tcW w:type="dxa" w:w="5256"/>
          </w:tcPr>
          <w:p>
            <w:r>
              <w:t>Quote, QuoteLineItem, Payment, IdempotencyRecord.</w:t>
            </w:r>
          </w:p>
        </w:tc>
      </w:tr>
      <w:tr>
        <w:tc>
          <w:tcPr>
            <w:tcW w:type="dxa" w:w="5256"/>
          </w:tcPr>
          <w:p>
            <w:r>
              <w:t>Delivery</w:t>
            </w:r>
          </w:p>
        </w:tc>
        <w:tc>
          <w:tcPr>
            <w:tcW w:type="dxa" w:w="5256"/>
          </w:tcPr>
          <w:p>
            <w:r>
              <w:t>Evidence, Report, QCReview.</w:t>
            </w:r>
          </w:p>
        </w:tc>
      </w:tr>
      <w:tr>
        <w:tc>
          <w:tcPr>
            <w:tcW w:type="dxa" w:w="5256"/>
          </w:tcPr>
          <w:p>
            <w:r>
              <w:t>Engagement</w:t>
            </w:r>
          </w:p>
        </w:tc>
        <w:tc>
          <w:tcPr>
            <w:tcW w:type="dxa" w:w="5256"/>
          </w:tcPr>
          <w:p>
            <w:r>
              <w:t>Notification, Referral, Membership where enabled.</w:t>
            </w:r>
          </w:p>
        </w:tc>
      </w:tr>
      <w:tr>
        <w:tc>
          <w:tcPr>
            <w:tcW w:type="dxa" w:w="5256"/>
          </w:tcPr>
          <w:p>
            <w:r>
              <w:t>Governance</w:t>
            </w:r>
          </w:p>
        </w:tc>
        <w:tc>
          <w:tcPr>
            <w:tcW w:type="dxa" w:w="5256"/>
          </w:tcPr>
          <w:p>
            <w:r>
              <w:t>AuditEvent.</w:t>
            </w:r>
          </w:p>
        </w:tc>
      </w:tr>
    </w:tbl>
    <w:p>
      <w:pPr>
        <w:pStyle w:val="Heading1"/>
      </w:pPr>
      <w:r>
        <w:t>17. Key relationship model</w:t>
      </w:r>
    </w:p>
    <w:p>
      <w:r>
        <w:t>User → Cases; Case → Service; Case → Scope Versions/Tasks/Quotes/Payments/Evidence/Reports/Escalations/Automation Decisions; Quote → Line Items; Service → Automation Capabilities; PriceBook → Pricing Rules; pricing rules feed Quote calculation; Payment references Quote/Case; Escalation routes to Operations.</w:t>
      </w:r>
    </w:p>
    <w:p>
      <w:pPr>
        <w:pStyle w:val="Heading1"/>
      </w:pPr>
      <w:r>
        <w:t>18. Backend/API surface</w:t>
      </w:r>
    </w:p>
    <w:tbl>
      <w:tblPr>
        <w:tblStyle w:val="TableGrid"/>
        <w:tblW w:type="auto" w:w="0"/>
        <w:tblLook w:firstColumn="1" w:firstRow="1" w:lastColumn="0" w:lastRow="0" w:noHBand="0" w:noVBand="1" w:val="04A0"/>
      </w:tblPr>
      <w:tblGrid>
        <w:gridCol w:w="5256"/>
        <w:gridCol w:w="5256"/>
      </w:tblGrid>
      <w:tr>
        <w:tc>
          <w:tcPr>
            <w:tcW w:type="dxa" w:w="5256"/>
          </w:tcPr>
          <w:p>
            <w:r>
              <w:t>Capability</w:t>
            </w:r>
          </w:p>
        </w:tc>
        <w:tc>
          <w:tcPr>
            <w:tcW w:type="dxa" w:w="5256"/>
          </w:tcPr>
          <w:p>
            <w:r>
              <w:t>Core operation</w:t>
            </w:r>
          </w:p>
        </w:tc>
      </w:tr>
      <w:tr>
        <w:tc>
          <w:tcPr>
            <w:tcW w:type="dxa" w:w="5256"/>
          </w:tcPr>
          <w:p>
            <w:r>
              <w:t>Concierge</w:t>
            </w:r>
          </w:p>
        </w:tc>
        <w:tc>
          <w:tcPr>
            <w:tcW w:type="dxa" w:w="5256"/>
          </w:tcPr>
          <w:p>
            <w:r>
              <w:t>session/message/structured-request operations.</w:t>
            </w:r>
          </w:p>
        </w:tc>
      </w:tr>
      <w:tr>
        <w:tc>
          <w:tcPr>
            <w:tcW w:type="dxa" w:w="5256"/>
          </w:tcPr>
          <w:p>
            <w:r>
              <w:t>Automation</w:t>
            </w:r>
          </w:p>
        </w:tc>
        <w:tc>
          <w:tcPr>
            <w:tcW w:type="dxa" w:w="5256"/>
          </w:tcPr>
          <w:p>
            <w:r>
              <w:t>evaluate eligibility; get capability; create escalation.</w:t>
            </w:r>
          </w:p>
        </w:tc>
      </w:tr>
      <w:tr>
        <w:tc>
          <w:tcPr>
            <w:tcW w:type="dxa" w:w="5256"/>
          </w:tcPr>
          <w:p>
            <w:r>
              <w:t>Case</w:t>
            </w:r>
          </w:p>
        </w:tc>
        <w:tc>
          <w:tcPr>
            <w:tcW w:type="dxa" w:w="5256"/>
          </w:tcPr>
          <w:p>
            <w:r>
              <w:t>create from structured request; get/update authorized case.</w:t>
            </w:r>
          </w:p>
        </w:tc>
      </w:tr>
      <w:tr>
        <w:tc>
          <w:tcPr>
            <w:tcW w:type="dxa" w:w="5256"/>
          </w:tcPr>
          <w:p>
            <w:r>
              <w:t>Scope</w:t>
            </w:r>
          </w:p>
        </w:tc>
        <w:tc>
          <w:tcPr>
            <w:tcW w:type="dxa" w:w="5256"/>
          </w:tcPr>
          <w:p>
            <w:r>
              <w:t>generate/validate/confirm/version.</w:t>
            </w:r>
          </w:p>
        </w:tc>
      </w:tr>
      <w:tr>
        <w:tc>
          <w:tcPr>
            <w:tcW w:type="dxa" w:w="5256"/>
          </w:tcPr>
          <w:p>
            <w:r>
              <w:t>Pricing</w:t>
            </w:r>
          </w:p>
        </w:tc>
        <w:tc>
          <w:tcPr>
            <w:tcW w:type="dxa" w:w="5256"/>
          </w:tcPr>
          <w:p>
            <w:r>
              <w:t>resolve price; calculate quote.</w:t>
            </w:r>
          </w:p>
        </w:tc>
      </w:tr>
      <w:tr>
        <w:tc>
          <w:tcPr>
            <w:tcW w:type="dxa" w:w="5256"/>
          </w:tcPr>
          <w:p>
            <w:r>
              <w:t>Quote</w:t>
            </w:r>
          </w:p>
        </w:tc>
        <w:tc>
          <w:tcPr>
            <w:tcW w:type="dxa" w:w="5256"/>
          </w:tcPr>
          <w:p>
            <w:r>
              <w:t>create/issue/get/accept/reject/recalculate.</w:t>
            </w:r>
          </w:p>
        </w:tc>
      </w:tr>
      <w:tr>
        <w:tc>
          <w:tcPr>
            <w:tcW w:type="dxa" w:w="5256"/>
          </w:tcPr>
          <w:p>
            <w:r>
              <w:t>Payment</w:t>
            </w:r>
          </w:p>
        </w:tc>
        <w:tc>
          <w:tcPr>
            <w:tcW w:type="dxa" w:w="5256"/>
          </w:tcPr>
          <w:p>
            <w:r>
              <w:t>create payment; get status; reconcile provider event.</w:t>
            </w:r>
          </w:p>
        </w:tc>
      </w:tr>
      <w:tr>
        <w:tc>
          <w:tcPr>
            <w:tcW w:type="dxa" w:w="5256"/>
          </w:tcPr>
          <w:p>
            <w:r>
              <w:t>Execution</w:t>
            </w:r>
          </w:p>
        </w:tc>
        <w:tc>
          <w:tcPr>
            <w:tcW w:type="dxa" w:w="5256"/>
          </w:tcPr>
          <w:p>
            <w:r>
              <w:t>tasks/assignment/schedule.</w:t>
            </w:r>
          </w:p>
        </w:tc>
      </w:tr>
      <w:tr>
        <w:tc>
          <w:tcPr>
            <w:tcW w:type="dxa" w:w="5256"/>
          </w:tcPr>
          <w:p>
            <w:r>
              <w:t>Evidence</w:t>
            </w:r>
          </w:p>
        </w:tc>
        <w:tc>
          <w:tcPr>
            <w:tcW w:type="dxa" w:w="5256"/>
          </w:tcPr>
          <w:p>
            <w:r>
              <w:t>secure metadata/access.</w:t>
            </w:r>
          </w:p>
        </w:tc>
      </w:tr>
      <w:tr>
        <w:tc>
          <w:tcPr>
            <w:tcW w:type="dxa" w:w="5256"/>
          </w:tcPr>
          <w:p>
            <w:r>
              <w:t>Operations</w:t>
            </w:r>
          </w:p>
        </w:tc>
        <w:tc>
          <w:tcPr>
            <w:tcW w:type="dxa" w:w="5256"/>
          </w:tcPr>
          <w:p>
            <w:r>
              <w:t>queues/escalations/review.</w:t>
            </w:r>
          </w:p>
        </w:tc>
      </w:tr>
    </w:tbl>
    <w:p>
      <w:pPr>
        <w:pStyle w:val="Heading1"/>
      </w:pPr>
      <w:r>
        <w:t>19. AI tool boundary</w:t>
      </w:r>
    </w:p>
    <w:p>
      <w:pPr>
        <w:pStyle w:val="ListBullet"/>
      </w:pPr>
      <w:r>
        <w:t>Tools are typed and permissioned.</w:t>
      </w:r>
    </w:p>
    <w:p>
      <w:pPr>
        <w:pStyle w:val="ListBullet"/>
      </w:pPr>
      <w:r>
        <w:t>AI cannot issue arbitrary database queries.</w:t>
      </w:r>
    </w:p>
    <w:p>
      <w:pPr>
        <w:pStyle w:val="ListBullet"/>
      </w:pPr>
      <w:r>
        <w:t>AI cannot select arbitrary privileged customer IDs.</w:t>
      </w:r>
    </w:p>
    <w:p>
      <w:pPr>
        <w:pStyle w:val="ListBullet"/>
      </w:pPr>
      <w:r>
        <w:t>AI cannot choose arbitrary payment amounts.</w:t>
      </w:r>
    </w:p>
    <w:p>
      <w:pPr>
        <w:pStyle w:val="ListBullet"/>
      </w:pPr>
      <w:r>
        <w:t>AI cannot override pricing rules.</w:t>
      </w:r>
    </w:p>
    <w:p>
      <w:pPr>
        <w:pStyle w:val="ListBullet"/>
      </w:pPr>
      <w:r>
        <w:t>AI cannot mark payment successful.</w:t>
      </w:r>
    </w:p>
    <w:p>
      <w:pPr>
        <w:pStyle w:val="ListBullet"/>
      </w:pPr>
      <w:r>
        <w:t>Backend revalidates authorization at execution time.</w:t>
      </w:r>
    </w:p>
    <w:p>
      <w:pPr>
        <w:pStyle w:val="ListBullet"/>
      </w:pPr>
      <w:r>
        <w:t>Consequential actions are idempotent and audited.</w:t>
      </w:r>
    </w:p>
    <w:p>
      <w:pPr>
        <w:pStyle w:val="Heading1"/>
      </w:pPr>
      <w:r>
        <w:t>20. Customer portal</w:t>
      </w:r>
    </w:p>
    <w:tbl>
      <w:tblPr>
        <w:tblStyle w:val="TableGrid"/>
        <w:tblW w:type="auto" w:w="0"/>
        <w:tblLook w:firstColumn="1" w:firstRow="1" w:lastColumn="0" w:lastRow="0" w:noHBand="0" w:noVBand="1" w:val="04A0"/>
      </w:tblPr>
      <w:tblGrid>
        <w:gridCol w:w="5256"/>
        <w:gridCol w:w="5256"/>
      </w:tblGrid>
      <w:tr>
        <w:tc>
          <w:tcPr>
            <w:tcW w:type="dxa" w:w="5256"/>
          </w:tcPr>
          <w:p>
            <w:r>
              <w:t>Portal area</w:t>
            </w:r>
          </w:p>
        </w:tc>
        <w:tc>
          <w:tcPr>
            <w:tcW w:type="dxa" w:w="5256"/>
          </w:tcPr>
          <w:p>
            <w:r>
              <w:t>Core function</w:t>
            </w:r>
          </w:p>
        </w:tc>
      </w:tr>
      <w:tr>
        <w:tc>
          <w:tcPr>
            <w:tcW w:type="dxa" w:w="5256"/>
          </w:tcPr>
          <w:p>
            <w:r>
              <w:t>Dashboard</w:t>
            </w:r>
          </w:p>
        </w:tc>
        <w:tc>
          <w:tcPr>
            <w:tcW w:type="dxa" w:w="5256"/>
          </w:tcPr>
          <w:p>
            <w:r>
              <w:t>Priority cases, automation status, quote/payment actions.</w:t>
            </w:r>
          </w:p>
        </w:tc>
      </w:tr>
      <w:tr>
        <w:tc>
          <w:tcPr>
            <w:tcW w:type="dxa" w:w="5256"/>
          </w:tcPr>
          <w:p>
            <w:r>
              <w:t>Cases</w:t>
            </w:r>
          </w:p>
        </w:tc>
        <w:tc>
          <w:tcPr>
            <w:tcW w:type="dxa" w:w="5256"/>
          </w:tcPr>
          <w:p>
            <w:r>
              <w:t>List and detail.</w:t>
            </w:r>
          </w:p>
        </w:tc>
      </w:tr>
      <w:tr>
        <w:tc>
          <w:tcPr>
            <w:tcW w:type="dxa" w:w="5256"/>
          </w:tcPr>
          <w:p>
            <w:r>
              <w:t>Case Detail</w:t>
            </w:r>
          </w:p>
        </w:tc>
        <w:tc>
          <w:tcPr>
            <w:tcW w:type="dxa" w:w="5256"/>
          </w:tcPr>
          <w:p>
            <w:r>
              <w:t>Status, scope, quote, payment, execution, evidence.</w:t>
            </w:r>
          </w:p>
        </w:tc>
      </w:tr>
      <w:tr>
        <w:tc>
          <w:tcPr>
            <w:tcW w:type="dxa" w:w="5256"/>
          </w:tcPr>
          <w:p>
            <w:r>
              <w:t>Quotes</w:t>
            </w:r>
          </w:p>
        </w:tc>
        <w:tc>
          <w:tcPr>
            <w:tcW w:type="dxa" w:w="5256"/>
          </w:tcPr>
          <w:p>
            <w:r>
              <w:t>Review/accept.</w:t>
            </w:r>
          </w:p>
        </w:tc>
      </w:tr>
      <w:tr>
        <w:tc>
          <w:tcPr>
            <w:tcW w:type="dxa" w:w="5256"/>
          </w:tcPr>
          <w:p>
            <w:r>
              <w:t>Payments</w:t>
            </w:r>
          </w:p>
        </w:tc>
        <w:tc>
          <w:tcPr>
            <w:tcW w:type="dxa" w:w="5256"/>
          </w:tcPr>
          <w:p>
            <w:r>
              <w:t>Pay/status/reconciliation.</w:t>
            </w:r>
          </w:p>
        </w:tc>
      </w:tr>
      <w:tr>
        <w:tc>
          <w:tcPr>
            <w:tcW w:type="dxa" w:w="5256"/>
          </w:tcPr>
          <w:p>
            <w:r>
              <w:t>Evidence/Reports</w:t>
            </w:r>
          </w:p>
        </w:tc>
        <w:tc>
          <w:tcPr>
            <w:tcW w:type="dxa" w:w="5256"/>
          </w:tcPr>
          <w:p>
            <w:r>
              <w:t>Authorized customer outputs.</w:t>
            </w:r>
          </w:p>
        </w:tc>
      </w:tr>
      <w:tr>
        <w:tc>
          <w:tcPr>
            <w:tcW w:type="dxa" w:w="5256"/>
          </w:tcPr>
          <w:p>
            <w:r>
              <w:t>Notifications</w:t>
            </w:r>
          </w:p>
        </w:tc>
        <w:tc>
          <w:tcPr>
            <w:tcW w:type="dxa" w:w="5256"/>
          </w:tcPr>
          <w:p>
            <w:r>
              <w:t>Customer alerts/deep links.</w:t>
            </w:r>
          </w:p>
        </w:tc>
      </w:tr>
      <w:tr>
        <w:tc>
          <w:tcPr>
            <w:tcW w:type="dxa" w:w="5256"/>
          </w:tcPr>
          <w:p>
            <w:r>
              <w:t>Profile</w:t>
            </w:r>
          </w:p>
        </w:tc>
        <w:tc>
          <w:tcPr>
            <w:tcW w:type="dxa" w:w="5256"/>
          </w:tcPr>
          <w:p>
            <w:r>
              <w:t>Customer account.</w:t>
            </w:r>
          </w:p>
        </w:tc>
      </w:tr>
      <w:tr>
        <w:tc>
          <w:tcPr>
            <w:tcW w:type="dxa" w:w="5256"/>
          </w:tcPr>
          <w:p>
            <w:r>
              <w:t>Referrals/Membership</w:t>
            </w:r>
          </w:p>
        </w:tc>
        <w:tc>
          <w:tcPr>
            <w:tcW w:type="dxa" w:w="5256"/>
          </w:tcPr>
          <w:p>
            <w:r>
              <w:t>Only where enabled.</w:t>
            </w:r>
          </w:p>
        </w:tc>
      </w:tr>
    </w:tbl>
    <w:p>
      <w:pPr>
        <w:pStyle w:val="Heading1"/>
      </w:pPr>
      <w:r>
        <w:t>21. Customer automation states</w:t>
      </w:r>
    </w:p>
    <w:p>
      <w:pPr>
        <w:pStyle w:val="ListBullet"/>
      </w:pPr>
      <w:r>
        <w:t>Preparing request.</w:t>
      </w:r>
    </w:p>
    <w:p>
      <w:pPr>
        <w:pStyle w:val="ListBullet"/>
      </w:pPr>
      <w:r>
        <w:t>Case created.</w:t>
      </w:r>
    </w:p>
    <w:p>
      <w:pPr>
        <w:pStyle w:val="ListBullet"/>
      </w:pPr>
      <w:r>
        <w:t>Quote being prepared.</w:t>
      </w:r>
    </w:p>
    <w:p>
      <w:pPr>
        <w:pStyle w:val="ListBullet"/>
      </w:pPr>
      <w:r>
        <w:t>Quote ready.</w:t>
      </w:r>
    </w:p>
    <w:p>
      <w:pPr>
        <w:pStyle w:val="ListBullet"/>
      </w:pPr>
      <w:r>
        <w:t>Payment required.</w:t>
      </w:r>
    </w:p>
    <w:p>
      <w:pPr>
        <w:pStyle w:val="ListBullet"/>
      </w:pPr>
      <w:r>
        <w:t>Paid.</w:t>
      </w:r>
    </w:p>
    <w:p>
      <w:pPr>
        <w:pStyle w:val="ListBullet"/>
      </w:pPr>
      <w:r>
        <w:t>Scheduled/in progress.</w:t>
      </w:r>
    </w:p>
    <w:p>
      <w:pPr>
        <w:pStyle w:val="ListBullet"/>
      </w:pPr>
      <w:r>
        <w:t>Escalation required.</w:t>
      </w:r>
    </w:p>
    <w:p>
      <w:pPr>
        <w:pStyle w:val="ListBullet"/>
      </w:pPr>
      <w:r>
        <w:t>Completed.</w:t>
      </w:r>
    </w:p>
    <w:p>
      <w:r>
        <w:t>Customer messaging must be simple, accurate and consistent with authoritative backend state.</w:t>
      </w:r>
    </w:p>
    <w:p>
      <w:pPr>
        <w:pStyle w:val="Heading1"/>
      </w:pPr>
      <w:r>
        <w:t>22. Admin/Operations control plane</w:t>
      </w:r>
    </w:p>
    <w:tbl>
      <w:tblPr>
        <w:tblStyle w:val="TableGrid"/>
        <w:tblW w:type="auto" w:w="0"/>
        <w:tblLook w:firstColumn="1" w:firstRow="1" w:lastColumn="0" w:lastRow="0" w:noHBand="0" w:noVBand="1" w:val="04A0"/>
      </w:tblPr>
      <w:tblGrid>
        <w:gridCol w:w="5256"/>
        <w:gridCol w:w="5256"/>
      </w:tblGrid>
      <w:tr>
        <w:tc>
          <w:tcPr>
            <w:tcW w:type="dxa" w:w="5256"/>
          </w:tcPr>
          <w:p>
            <w:r>
              <w:t>Module</w:t>
            </w:r>
          </w:p>
        </w:tc>
        <w:tc>
          <w:tcPr>
            <w:tcW w:type="dxa" w:w="5256"/>
          </w:tcPr>
          <w:p>
            <w:r>
              <w:t>Purpose</w:t>
            </w:r>
          </w:p>
        </w:tc>
      </w:tr>
      <w:tr>
        <w:tc>
          <w:tcPr>
            <w:tcW w:type="dxa" w:w="5256"/>
          </w:tcPr>
          <w:p>
            <w:r>
              <w:t>Overview</w:t>
            </w:r>
          </w:p>
        </w:tc>
        <w:tc>
          <w:tcPr>
            <w:tcW w:type="dxa" w:w="5256"/>
          </w:tcPr>
          <w:p>
            <w:r>
              <w:t>Operational attention.</w:t>
            </w:r>
          </w:p>
        </w:tc>
      </w:tr>
      <w:tr>
        <w:tc>
          <w:tcPr>
            <w:tcW w:type="dxa" w:w="5256"/>
          </w:tcPr>
          <w:p>
            <w:r>
              <w:t>Automation Control</w:t>
            </w:r>
          </w:p>
        </w:tc>
        <w:tc>
          <w:tcPr>
            <w:tcW w:type="dxa" w:w="5256"/>
          </w:tcPr>
          <w:p>
            <w:r>
              <w:t>A0–A5, enable/disable, workflow configuration.</w:t>
            </w:r>
          </w:p>
        </w:tc>
      </w:tr>
      <w:tr>
        <w:tc>
          <w:tcPr>
            <w:tcW w:type="dxa" w:w="5256"/>
          </w:tcPr>
          <w:p>
            <w:r>
              <w:t>Escalations</w:t>
            </w:r>
          </w:p>
        </w:tc>
        <w:tc>
          <w:tcPr>
            <w:tcW w:type="dxa" w:w="5256"/>
          </w:tcPr>
          <w:p>
            <w:r>
              <w:t>Human-review queue.</w:t>
            </w:r>
          </w:p>
        </w:tc>
      </w:tr>
      <w:tr>
        <w:tc>
          <w:tcPr>
            <w:tcW w:type="dxa" w:w="5256"/>
          </w:tcPr>
          <w:p>
            <w:r>
              <w:t>Cases</w:t>
            </w:r>
          </w:p>
        </w:tc>
        <w:tc>
          <w:tcPr>
            <w:tcW w:type="dxa" w:w="5256"/>
          </w:tcPr>
          <w:p>
            <w:r>
              <w:t>Triage and management.</w:t>
            </w:r>
          </w:p>
        </w:tc>
      </w:tr>
      <w:tr>
        <w:tc>
          <w:tcPr>
            <w:tcW w:type="dxa" w:w="5256"/>
          </w:tcPr>
          <w:p>
            <w:r>
              <w:t>Pricing</w:t>
            </w:r>
          </w:p>
        </w:tc>
        <w:tc>
          <w:tcPr>
            <w:tcW w:type="dxa" w:w="5256"/>
          </w:tcPr>
          <w:p>
            <w:r>
              <w:t>Price books/rules/multipliers.</w:t>
            </w:r>
          </w:p>
        </w:tc>
      </w:tr>
      <w:tr>
        <w:tc>
          <w:tcPr>
            <w:tcW w:type="dxa" w:w="5256"/>
          </w:tcPr>
          <w:p>
            <w:r>
              <w:t>Quotes</w:t>
            </w:r>
          </w:p>
        </w:tc>
        <w:tc>
          <w:tcPr>
            <w:tcW w:type="dxa" w:w="5256"/>
          </w:tcPr>
          <w:p>
            <w:r>
              <w:t>Manual review/recalculation.</w:t>
            </w:r>
          </w:p>
        </w:tc>
      </w:tr>
      <w:tr>
        <w:tc>
          <w:tcPr>
            <w:tcW w:type="dxa" w:w="5256"/>
          </w:tcPr>
          <w:p>
            <w:r>
              <w:t>Payments</w:t>
            </w:r>
          </w:p>
        </w:tc>
        <w:tc>
          <w:tcPr>
            <w:tcW w:type="dxa" w:w="5256"/>
          </w:tcPr>
          <w:p>
            <w:r>
              <w:t>Monitoring/reconciliation.</w:t>
            </w:r>
          </w:p>
        </w:tc>
      </w:tr>
      <w:tr>
        <w:tc>
          <w:tcPr>
            <w:tcW w:type="dxa" w:w="5256"/>
          </w:tcPr>
          <w:p>
            <w:r>
              <w:t>Schedule</w:t>
            </w:r>
          </w:p>
        </w:tc>
        <w:tc>
          <w:tcPr>
            <w:tcW w:type="dxa" w:w="5256"/>
          </w:tcPr>
          <w:p>
            <w:r>
              <w:t>Operational commitments.</w:t>
            </w:r>
          </w:p>
        </w:tc>
      </w:tr>
      <w:tr>
        <w:tc>
          <w:tcPr>
            <w:tcW w:type="dxa" w:w="5256"/>
          </w:tcPr>
          <w:p>
            <w:r>
              <w:t>Evidence/QC</w:t>
            </w:r>
          </w:p>
        </w:tc>
        <w:tc>
          <w:tcPr>
            <w:tcW w:type="dxa" w:w="5256"/>
          </w:tcPr>
          <w:p>
            <w:r>
              <w:t>Review/rework.</w:t>
            </w:r>
          </w:p>
        </w:tc>
      </w:tr>
      <w:tr>
        <w:tc>
          <w:tcPr>
            <w:tcW w:type="dxa" w:w="5256"/>
          </w:tcPr>
          <w:p>
            <w:r>
              <w:t>Exceptions</w:t>
            </w:r>
          </w:p>
        </w:tc>
        <w:tc>
          <w:tcPr>
            <w:tcW w:type="dxa" w:w="5256"/>
          </w:tcPr>
          <w:p>
            <w:r>
              <w:t>Dependency/system issues.</w:t>
            </w:r>
          </w:p>
        </w:tc>
      </w:tr>
      <w:tr>
        <w:tc>
          <w:tcPr>
            <w:tcW w:type="dxa" w:w="5256"/>
          </w:tcPr>
          <w:p>
            <w:r>
              <w:t>Audit</w:t>
            </w:r>
          </w:p>
        </w:tc>
        <w:tc>
          <w:tcPr>
            <w:tcW w:type="dxa" w:w="5256"/>
          </w:tcPr>
          <w:p>
            <w:r>
              <w:t>Privileged activity.</w:t>
            </w:r>
          </w:p>
        </w:tc>
      </w:tr>
    </w:tbl>
    <w:p>
      <w:pPr>
        <w:pStyle w:val="Heading1"/>
      </w:pPr>
      <w:r>
        <w:t>23. Roles</w:t>
      </w:r>
    </w:p>
    <w:p>
      <w:pPr>
        <w:pStyle w:val="ListBullet"/>
      </w:pPr>
      <w:r>
        <w:t>Operations Admin</w:t>
      </w:r>
    </w:p>
    <w:p>
      <w:pPr>
        <w:pStyle w:val="ListBullet"/>
      </w:pPr>
      <w:r>
        <w:t>Case Manager</w:t>
      </w:r>
    </w:p>
    <w:p>
      <w:pPr>
        <w:pStyle w:val="ListBullet"/>
      </w:pPr>
      <w:r>
        <w:t>Service Specialist</w:t>
      </w:r>
    </w:p>
    <w:p>
      <w:pPr>
        <w:pStyle w:val="ListBullet"/>
      </w:pPr>
      <w:r>
        <w:t>QC Reviewer</w:t>
      </w:r>
    </w:p>
    <w:p>
      <w:pPr>
        <w:pStyle w:val="ListBullet"/>
      </w:pPr>
      <w:r>
        <w:t>Finance/Payments</w:t>
      </w:r>
    </w:p>
    <w:p>
      <w:pPr>
        <w:pStyle w:val="ListBullet"/>
      </w:pPr>
      <w:r>
        <w:t>Pricing Admin</w:t>
      </w:r>
    </w:p>
    <w:p>
      <w:pPr>
        <w:pStyle w:val="ListBullet"/>
      </w:pPr>
      <w:r>
        <w:t>Automation Admin</w:t>
      </w:r>
    </w:p>
    <w:p>
      <w:pPr>
        <w:pStyle w:val="ListBullet"/>
      </w:pPr>
      <w:r>
        <w:t>Super Admin</w:t>
      </w:r>
    </w:p>
    <w:p>
      <w:r>
        <w:t>Actual authorization implementation should use least privilege and object-level permissions.</w:t>
      </w:r>
    </w:p>
    <w:p>
      <w:pPr>
        <w:pStyle w:val="Heading1"/>
      </w:pPr>
      <w:r>
        <w:t>24. Security and privacy</w:t>
      </w:r>
    </w:p>
    <w:p>
      <w:pPr>
        <w:pStyle w:val="ListBullet"/>
      </w:pPr>
      <w:r>
        <w:t>Server-side authorization for every protected resource.</w:t>
      </w:r>
    </w:p>
    <w:p>
      <w:pPr>
        <w:pStyle w:val="ListBullet"/>
      </w:pPr>
      <w:r>
        <w:t>AI context contains only required data.</w:t>
      </w:r>
    </w:p>
    <w:p>
      <w:pPr>
        <w:pStyle w:val="ListBullet"/>
      </w:pPr>
      <w:r>
        <w:t>Internal notes/audit/pricing internals are staff-only.</w:t>
      </w:r>
    </w:p>
    <w:p>
      <w:pPr>
        <w:pStyle w:val="ListBullet"/>
      </w:pPr>
      <w:r>
        <w:t>Payment secrets remain outside AI context.</w:t>
      </w:r>
    </w:p>
    <w:p>
      <w:pPr>
        <w:pStyle w:val="ListBullet"/>
      </w:pPr>
      <w:r>
        <w:t>Evidence is private by default.</w:t>
      </w:r>
    </w:p>
    <w:p>
      <w:pPr>
        <w:pStyle w:val="ListBullet"/>
      </w:pPr>
      <w:r>
        <w:t>Prompt injection cannot elevate privileges.</w:t>
      </w:r>
    </w:p>
    <w:p>
      <w:pPr>
        <w:pStyle w:val="ListBullet"/>
      </w:pPr>
      <w:r>
        <w:t>Sensitive conversation retention is controlled.</w:t>
      </w:r>
    </w:p>
    <w:p>
      <w:pPr>
        <w:pStyle w:val="ListBullet"/>
      </w:pPr>
      <w:r>
        <w:t>Audit consequential operations.</w:t>
      </w:r>
    </w:p>
    <w:p>
      <w:pPr>
        <w:pStyle w:val="Heading1"/>
      </w:pPr>
      <w:r>
        <w:t>25. Observability</w:t>
      </w:r>
    </w:p>
    <w:tbl>
      <w:tblPr>
        <w:tblStyle w:val="TableGrid"/>
        <w:tblW w:type="auto" w:w="0"/>
        <w:tblLook w:firstColumn="1" w:firstRow="1" w:lastColumn="0" w:lastRow="0" w:noHBand="0" w:noVBand="1" w:val="04A0"/>
      </w:tblPr>
      <w:tblGrid>
        <w:gridCol w:w="5256"/>
        <w:gridCol w:w="5256"/>
      </w:tblGrid>
      <w:tr>
        <w:tc>
          <w:tcPr>
            <w:tcW w:type="dxa" w:w="5256"/>
          </w:tcPr>
          <w:p>
            <w:r>
              <w:t>Metric</w:t>
            </w:r>
          </w:p>
        </w:tc>
        <w:tc>
          <w:tcPr>
            <w:tcW w:type="dxa" w:w="5256"/>
          </w:tcPr>
          <w:p>
            <w:r>
              <w:t>Purpose</w:t>
            </w:r>
          </w:p>
        </w:tc>
      </w:tr>
      <w:tr>
        <w:tc>
          <w:tcPr>
            <w:tcW w:type="dxa" w:w="5256"/>
          </w:tcPr>
          <w:p>
            <w:r>
              <w:t>Automation completion</w:t>
            </w:r>
          </w:p>
        </w:tc>
        <w:tc>
          <w:tcPr>
            <w:tcW w:type="dxa" w:w="5256"/>
          </w:tcPr>
          <w:p>
            <w:r>
              <w:t>Measure straight-through processing.</w:t>
            </w:r>
          </w:p>
        </w:tc>
      </w:tr>
      <w:tr>
        <w:tc>
          <w:tcPr>
            <w:tcW w:type="dxa" w:w="5256"/>
          </w:tcPr>
          <w:p>
            <w:r>
              <w:t>Escalation rate</w:t>
            </w:r>
          </w:p>
        </w:tc>
        <w:tc>
          <w:tcPr>
            <w:tcW w:type="dxa" w:w="5256"/>
          </w:tcPr>
          <w:p>
            <w:r>
              <w:t>Measure exception load.</w:t>
            </w:r>
          </w:p>
        </w:tc>
      </w:tr>
      <w:tr>
        <w:tc>
          <w:tcPr>
            <w:tcW w:type="dxa" w:w="5256"/>
          </w:tcPr>
          <w:p>
            <w:r>
              <w:t>Quote accuracy</w:t>
            </w:r>
          </w:p>
        </w:tc>
        <w:tc>
          <w:tcPr>
            <w:tcW w:type="dxa" w:w="5256"/>
          </w:tcPr>
          <w:p>
            <w:r>
              <w:t>Validate pricing.</w:t>
            </w:r>
          </w:p>
        </w:tc>
      </w:tr>
      <w:tr>
        <w:tc>
          <w:tcPr>
            <w:tcW w:type="dxa" w:w="5256"/>
          </w:tcPr>
          <w:p>
            <w:r>
              <w:t>Case creation failures</w:t>
            </w:r>
          </w:p>
        </w:tc>
        <w:tc>
          <w:tcPr>
            <w:tcW w:type="dxa" w:w="5256"/>
          </w:tcPr>
          <w:p>
            <w:r>
              <w:t>Reliability.</w:t>
            </w:r>
          </w:p>
        </w:tc>
      </w:tr>
      <w:tr>
        <w:tc>
          <w:tcPr>
            <w:tcW w:type="dxa" w:w="5256"/>
          </w:tcPr>
          <w:p>
            <w:r>
              <w:t>Payment failures/reconciliation</w:t>
            </w:r>
          </w:p>
        </w:tc>
        <w:tc>
          <w:tcPr>
            <w:tcW w:type="dxa" w:w="5256"/>
          </w:tcPr>
          <w:p>
            <w:r>
              <w:t>Financial reliability.</w:t>
            </w:r>
          </w:p>
        </w:tc>
      </w:tr>
      <w:tr>
        <w:tc>
          <w:tcPr>
            <w:tcW w:type="dxa" w:w="5256"/>
          </w:tcPr>
          <w:p>
            <w:r>
              <w:t>Latency</w:t>
            </w:r>
          </w:p>
        </w:tc>
        <w:tc>
          <w:tcPr>
            <w:tcW w:type="dxa" w:w="5256"/>
          </w:tcPr>
          <w:p>
            <w:r>
              <w:t>Customer experience.</w:t>
            </w:r>
          </w:p>
        </w:tc>
      </w:tr>
      <w:tr>
        <w:tc>
          <w:tcPr>
            <w:tcW w:type="dxa" w:w="5256"/>
          </w:tcPr>
          <w:p>
            <w:r>
              <w:t>False automation</w:t>
            </w:r>
          </w:p>
        </w:tc>
        <w:tc>
          <w:tcPr>
            <w:tcW w:type="dxa" w:w="5256"/>
          </w:tcPr>
          <w:p>
            <w:r>
              <w:t>Safety/control.</w:t>
            </w:r>
          </w:p>
        </w:tc>
      </w:tr>
      <w:tr>
        <w:tc>
          <w:tcPr>
            <w:tcW w:type="dxa" w:w="5256"/>
          </w:tcPr>
          <w:p>
            <w:r>
              <w:t>Missed escalation</w:t>
            </w:r>
          </w:p>
        </w:tc>
        <w:tc>
          <w:tcPr>
            <w:tcW w:type="dxa" w:w="5256"/>
          </w:tcPr>
          <w:p>
            <w:r>
              <w:t>Safety/control.</w:t>
            </w:r>
          </w:p>
        </w:tc>
      </w:tr>
    </w:tbl>
    <w:p>
      <w:pPr>
        <w:pStyle w:val="Heading1"/>
      </w:pPr>
      <w:r>
        <w:t>26. Testing strategy</w:t>
      </w:r>
    </w:p>
    <w:p>
      <w:pPr>
        <w:pStyle w:val="ListBullet"/>
      </w:pPr>
      <w:r>
        <w:t>Unit tests for pricing/rules/state transitions.</w:t>
      </w:r>
    </w:p>
    <w:p>
      <w:pPr>
        <w:pStyle w:val="ListBullet"/>
      </w:pPr>
      <w:r>
        <w:t>Contract tests across frontend/API/database.</w:t>
      </w:r>
    </w:p>
    <w:p>
      <w:pPr>
        <w:pStyle w:val="ListBullet"/>
      </w:pPr>
      <w:r>
        <w:t>Authorization tests.</w:t>
      </w:r>
    </w:p>
    <w:p>
      <w:pPr>
        <w:pStyle w:val="ListBullet"/>
      </w:pPr>
      <w:r>
        <w:t>AI structured-output validation tests.</w:t>
      </w:r>
    </w:p>
    <w:p>
      <w:pPr>
        <w:pStyle w:val="ListBullet"/>
      </w:pPr>
      <w:r>
        <w:t>Prompt-injection/adversarial tests.</w:t>
      </w:r>
    </w:p>
    <w:p>
      <w:pPr>
        <w:pStyle w:val="ListBullet"/>
      </w:pPr>
      <w:r>
        <w:t>Automation eligibility tests.</w:t>
      </w:r>
    </w:p>
    <w:p>
      <w:pPr>
        <w:pStyle w:val="ListBullet"/>
      </w:pPr>
      <w:r>
        <w:t>Idempotency tests.</w:t>
      </w:r>
    </w:p>
    <w:p>
      <w:pPr>
        <w:pStyle w:val="ListBullet"/>
      </w:pPr>
      <w:r>
        <w:t>Quote reproducibility tests.</w:t>
      </w:r>
    </w:p>
    <w:p>
      <w:pPr>
        <w:pStyle w:val="ListBullet"/>
      </w:pPr>
      <w:r>
        <w:t>Payment webhook replay tests.</w:t>
      </w:r>
    </w:p>
    <w:p>
      <w:pPr>
        <w:pStyle w:val="ListBullet"/>
      </w:pPr>
      <w:r>
        <w:t>Escalation tests.</w:t>
      </w:r>
    </w:p>
    <w:p>
      <w:pPr>
        <w:pStyle w:val="ListBullet"/>
      </w:pPr>
      <w:r>
        <w:t>Responsive/accessibility tests.</w:t>
      </w:r>
    </w:p>
    <w:p>
      <w:pPr>
        <w:pStyle w:val="ListBullet"/>
      </w:pPr>
      <w:r>
        <w:t>Full end-to-end Concierge-to-payment tests.</w:t>
      </w:r>
    </w:p>
    <w:p>
      <w:pPr>
        <w:pStyle w:val="Heading1"/>
      </w:pPr>
      <w:r>
        <w:t>27. Critical end-to-end scenarios</w:t>
      </w:r>
    </w:p>
    <w:tbl>
      <w:tblPr>
        <w:tblStyle w:val="TableGrid"/>
        <w:tblW w:type="auto" w:w="0"/>
        <w:tblLook w:firstColumn="1" w:firstRow="1" w:lastColumn="0" w:lastRow="0" w:noHBand="0" w:noVBand="1" w:val="04A0"/>
      </w:tblPr>
      <w:tblGrid>
        <w:gridCol w:w="5256"/>
        <w:gridCol w:w="5256"/>
      </w:tblGrid>
      <w:tr>
        <w:tc>
          <w:tcPr>
            <w:tcW w:type="dxa" w:w="5256"/>
          </w:tcPr>
          <w:p>
            <w:r>
              <w:t>Scenario</w:t>
            </w:r>
          </w:p>
        </w:tc>
        <w:tc>
          <w:tcPr>
            <w:tcW w:type="dxa" w:w="5256"/>
          </w:tcPr>
          <w:p>
            <w:r>
              <w:t>Expected path</w:t>
            </w:r>
          </w:p>
        </w:tc>
      </w:tr>
      <w:tr>
        <w:tc>
          <w:tcPr>
            <w:tcW w:type="dxa" w:w="5256"/>
          </w:tcPr>
          <w:p>
            <w:r>
              <w:t>Standard eligible request</w:t>
            </w:r>
          </w:p>
        </w:tc>
        <w:tc>
          <w:tcPr>
            <w:tcW w:type="dxa" w:w="5256"/>
          </w:tcPr>
          <w:p>
            <w:r>
              <w:t>Concierge → case → quote → payment → execution.</w:t>
            </w:r>
          </w:p>
        </w:tc>
      </w:tr>
      <w:tr>
        <w:tc>
          <w:tcPr>
            <w:tcW w:type="dxa" w:w="5256"/>
          </w:tcPr>
          <w:p>
            <w:r>
              <w:t>Missing information</w:t>
            </w:r>
          </w:p>
        </w:tc>
        <w:tc>
          <w:tcPr>
            <w:tcW w:type="dxa" w:w="5256"/>
          </w:tcPr>
          <w:p>
            <w:r>
              <w:t>Concierge asks → request completes.</w:t>
            </w:r>
          </w:p>
        </w:tc>
      </w:tr>
      <w:tr>
        <w:tc>
          <w:tcPr>
            <w:tcW w:type="dxa" w:w="5256"/>
          </w:tcPr>
          <w:p>
            <w:r>
              <w:t>Unknown price</w:t>
            </w:r>
          </w:p>
        </w:tc>
        <w:tc>
          <w:tcPr>
            <w:tcW w:type="dxa" w:w="5256"/>
          </w:tcPr>
          <w:p>
            <w:r>
              <w:t>Escalation; no invented quote.</w:t>
            </w:r>
          </w:p>
        </w:tc>
      </w:tr>
      <w:tr>
        <w:tc>
          <w:tcPr>
            <w:tcW w:type="dxa" w:w="5256"/>
          </w:tcPr>
          <w:p>
            <w:r>
              <w:t>External provider unavailable</w:t>
            </w:r>
          </w:p>
        </w:tc>
        <w:tc>
          <w:tcPr>
            <w:tcW w:type="dxa" w:w="5256"/>
          </w:tcPr>
          <w:p>
            <w:r>
              <w:t>Escalation/block.</w:t>
            </w:r>
          </w:p>
        </w:tc>
      </w:tr>
      <w:tr>
        <w:tc>
          <w:tcPr>
            <w:tcW w:type="dxa" w:w="5256"/>
          </w:tcPr>
          <w:p>
            <w:r>
              <w:t>Duplicate case call</w:t>
            </w:r>
          </w:p>
        </w:tc>
        <w:tc>
          <w:tcPr>
            <w:tcW w:type="dxa" w:w="5256"/>
          </w:tcPr>
          <w:p>
            <w:r>
              <w:t>One case.</w:t>
            </w:r>
          </w:p>
        </w:tc>
      </w:tr>
      <w:tr>
        <w:tc>
          <w:tcPr>
            <w:tcW w:type="dxa" w:w="5256"/>
          </w:tcPr>
          <w:p>
            <w:r>
              <w:t>Expired quote</w:t>
            </w:r>
          </w:p>
        </w:tc>
        <w:tc>
          <w:tcPr>
            <w:tcW w:type="dxa" w:w="5256"/>
          </w:tcPr>
          <w:p>
            <w:r>
              <w:t>Cannot accept/pay.</w:t>
            </w:r>
          </w:p>
        </w:tc>
      </w:tr>
      <w:tr>
        <w:tc>
          <w:tcPr>
            <w:tcW w:type="dxa" w:w="5256"/>
          </w:tcPr>
          <w:p>
            <w:r>
              <w:t>Payment webhook replay</w:t>
            </w:r>
          </w:p>
        </w:tc>
        <w:tc>
          <w:tcPr>
            <w:tcW w:type="dxa" w:w="5256"/>
          </w:tcPr>
          <w:p>
            <w:r>
              <w:t>One payment transition.</w:t>
            </w:r>
          </w:p>
        </w:tc>
      </w:tr>
      <w:tr>
        <w:tc>
          <w:tcPr>
            <w:tcW w:type="dxa" w:w="5256"/>
          </w:tcPr>
          <w:p>
            <w:r>
              <w:t>Complex Build request</w:t>
            </w:r>
          </w:p>
        </w:tc>
        <w:tc>
          <w:tcPr>
            <w:tcW w:type="dxa" w:w="5256"/>
          </w:tcPr>
          <w:p>
            <w:r>
              <w:t>Configured review/escalation.</w:t>
            </w:r>
          </w:p>
        </w:tc>
      </w:tr>
      <w:tr>
        <w:tc>
          <w:tcPr>
            <w:tcW w:type="dxa" w:w="5256"/>
          </w:tcPr>
          <w:p>
            <w:r>
              <w:t>Customer auth expiry</w:t>
            </w:r>
          </w:p>
        </w:tc>
        <w:tc>
          <w:tcPr>
            <w:tcW w:type="dxa" w:w="5256"/>
          </w:tcPr>
          <w:p>
            <w:r>
              <w:t>Safe re-auth + context restoration.</w:t>
            </w:r>
          </w:p>
        </w:tc>
      </w:tr>
    </w:tbl>
    <w:p>
      <w:pPr>
        <w:pStyle w:val="Heading1"/>
      </w:pPr>
      <w:r>
        <w:t>28. Configuration hierarchy</w:t>
      </w:r>
    </w:p>
    <w:p>
      <w:r>
        <w:t>Configuration should flow from controlled sources rather than duplicated constants.</w:t>
      </w:r>
    </w:p>
    <w:p>
      <w:pPr>
        <w:pStyle w:val="ListBullet"/>
      </w:pPr>
      <w:r>
        <w:t>Service catalog/configuration.</w:t>
      </w:r>
    </w:p>
    <w:p>
      <w:pPr>
        <w:pStyle w:val="ListBullet"/>
      </w:pPr>
      <w:r>
        <w:t>Automation capability.</w:t>
      </w:r>
    </w:p>
    <w:p>
      <w:pPr>
        <w:pStyle w:val="ListBullet"/>
      </w:pPr>
      <w:r>
        <w:t>Automation rules.</w:t>
      </w:r>
    </w:p>
    <w:p>
      <w:pPr>
        <w:pStyle w:val="ListBullet"/>
      </w:pPr>
      <w:r>
        <w:t>Price books.</w:t>
      </w:r>
    </w:p>
    <w:p>
      <w:pPr>
        <w:pStyle w:val="ListBullet"/>
      </w:pPr>
      <w:r>
        <w:t>Pricing/multiplier rules.</w:t>
      </w:r>
    </w:p>
    <w:p>
      <w:pPr>
        <w:pStyle w:val="ListBullet"/>
      </w:pPr>
      <w:r>
        <w:t>External cost sources.</w:t>
      </w:r>
    </w:p>
    <w:p>
      <w:pPr>
        <w:pStyle w:val="ListBullet"/>
      </w:pPr>
      <w:r>
        <w:t>Discount/tax rules.</w:t>
      </w:r>
    </w:p>
    <w:p>
      <w:pPr>
        <w:pStyle w:val="ListBullet"/>
      </w:pPr>
      <w:r>
        <w:t>Escalation rules.</w:t>
      </w:r>
    </w:p>
    <w:p>
      <w:pPr>
        <w:pStyle w:val="ListBullet"/>
      </w:pPr>
      <w:r>
        <w:t>Quote validity.</w:t>
      </w:r>
    </w:p>
    <w:p>
      <w:pPr>
        <w:pStyle w:val="ListBullet"/>
      </w:pPr>
      <w:r>
        <w:t>Feature flags/kill switches.</w:t>
      </w:r>
    </w:p>
    <w:p>
      <w:pPr>
        <w:pStyle w:val="ListBullet"/>
      </w:pPr>
      <w:r>
        <w:t>Prompt/model configuration.</w:t>
      </w:r>
    </w:p>
    <w:p>
      <w:pPr>
        <w:pStyle w:val="Heading1"/>
      </w:pPr>
      <w:r>
        <w:t>29. Release strategy</w:t>
      </w:r>
    </w:p>
    <w:p>
      <w:r>
        <w:t>1. Audit current repository and deployed infrastructure.</w:t>
      </w:r>
    </w:p>
    <w:p>
      <w:r>
        <w:t>2. Map existing components/models/services to this blueprint.</w:t>
      </w:r>
    </w:p>
    <w:p>
      <w:r>
        <w:t>3. Implement automation infrastructure without enabling all workflows.</w:t>
      </w:r>
    </w:p>
    <w:p>
      <w:r>
        <w:t>4. Enable deterministic low-complexity workflows first.</w:t>
      </w:r>
    </w:p>
    <w:p>
      <w:r>
        <w:t>5. Validate pricing and payment safety.</w:t>
      </w:r>
    </w:p>
    <w:p>
      <w:r>
        <w:t>6. Enable A2/A3.</w:t>
      </w:r>
    </w:p>
    <w:p>
      <w:r>
        <w:t>7. Expand to A4 for approved workflows.</w:t>
      </w:r>
    </w:p>
    <w:p>
      <w:r>
        <w:t>8. Enable A5 selectively.</w:t>
      </w:r>
    </w:p>
    <w:p>
      <w:r>
        <w:t>9. Monitor automation and escalation quality.</w:t>
      </w:r>
    </w:p>
    <w:p>
      <w:r>
        <w:t>10. Keep service/workflow kill switches active.</w:t>
      </w:r>
    </w:p>
    <w:p>
      <w:pPr>
        <w:pStyle w:val="Heading1"/>
      </w:pPr>
      <w:r>
        <w:t>30. Product KPIs</w:t>
      </w:r>
    </w:p>
    <w:p>
      <w:pPr>
        <w:pStyle w:val="ListBullet"/>
      </w:pPr>
      <w:r>
        <w:t>Concierge start-to-structured-request rate.</w:t>
      </w:r>
    </w:p>
    <w:p>
      <w:pPr>
        <w:pStyle w:val="ListBullet"/>
      </w:pPr>
      <w:r>
        <w:t>Structured request-to-case conversion.</w:t>
      </w:r>
    </w:p>
    <w:p>
      <w:pPr>
        <w:pStyle w:val="ListBullet"/>
      </w:pPr>
      <w:r>
        <w:t>Percentage of eligible cases automated.</w:t>
      </w:r>
    </w:p>
    <w:p>
      <w:pPr>
        <w:pStyle w:val="ListBullet"/>
      </w:pPr>
      <w:r>
        <w:t>Quote generation time.</w:t>
      </w:r>
    </w:p>
    <w:p>
      <w:pPr>
        <w:pStyle w:val="ListBullet"/>
      </w:pPr>
      <w:r>
        <w:t>Quote acceptance rate.</w:t>
      </w:r>
    </w:p>
    <w:p>
      <w:pPr>
        <w:pStyle w:val="ListBullet"/>
      </w:pPr>
      <w:r>
        <w:t>Payment completion rate.</w:t>
      </w:r>
    </w:p>
    <w:p>
      <w:pPr>
        <w:pStyle w:val="ListBullet"/>
      </w:pPr>
      <w:r>
        <w:t>Escalation rate.</w:t>
      </w:r>
    </w:p>
    <w:p>
      <w:pPr>
        <w:pStyle w:val="ListBullet"/>
      </w:pPr>
      <w:r>
        <w:t>Escalation resolution time where configured.</w:t>
      </w:r>
    </w:p>
    <w:p>
      <w:pPr>
        <w:pStyle w:val="ListBullet"/>
      </w:pPr>
      <w:r>
        <w:t>Case completion time.</w:t>
      </w:r>
    </w:p>
    <w:p>
      <w:pPr>
        <w:pStyle w:val="ListBullet"/>
      </w:pPr>
      <w:r>
        <w:t>Automation error rate.</w:t>
      </w:r>
    </w:p>
    <w:p>
      <w:pPr>
        <w:pStyle w:val="ListBullet"/>
      </w:pPr>
      <w:r>
        <w:t>Customer satisfaction where measured.</w:t>
      </w:r>
    </w:p>
    <w:p>
      <w:pPr>
        <w:pStyle w:val="Heading1"/>
      </w:pPr>
      <w:r>
        <w:t>31. What is locked vs configurable</w:t>
      </w:r>
    </w:p>
    <w:tbl>
      <w:tblPr>
        <w:tblStyle w:val="TableGrid"/>
        <w:tblW w:type="auto" w:w="0"/>
        <w:tblLook w:firstColumn="1" w:firstRow="1" w:lastColumn="0" w:lastRow="0" w:noHBand="0" w:noVBand="1" w:val="04A0"/>
      </w:tblPr>
      <w:tblGrid>
        <w:gridCol w:w="5256"/>
        <w:gridCol w:w="5256"/>
      </w:tblGrid>
      <w:tr>
        <w:tc>
          <w:tcPr>
            <w:tcW w:type="dxa" w:w="5256"/>
          </w:tcPr>
          <w:p>
            <w:r>
              <w:t>Locked</w:t>
            </w:r>
          </w:p>
        </w:tc>
        <w:tc>
          <w:tcPr>
            <w:tcW w:type="dxa" w:w="5256"/>
          </w:tcPr>
          <w:p>
            <w:r>
              <w:t>Configurable</w:t>
            </w:r>
          </w:p>
        </w:tc>
      </w:tr>
      <w:tr>
        <w:tc>
          <w:tcPr>
            <w:tcW w:type="dxa" w:w="5256"/>
          </w:tcPr>
          <w:p>
            <w:r>
              <w:t>Six public services</w:t>
            </w:r>
          </w:p>
        </w:tc>
        <w:tc>
          <w:tcPr>
            <w:tcW w:type="dxa" w:w="5256"/>
          </w:tcPr>
          <w:p>
            <w:r>
              <w:t>Automation level by workflow.</w:t>
            </w:r>
          </w:p>
        </w:tc>
      </w:tr>
      <w:tr>
        <w:tc>
          <w:tcPr>
            <w:tcW w:type="dxa" w:w="5256"/>
          </w:tcPr>
          <w:p>
            <w:r>
              <w:t>AI Concierge as primary entry point</w:t>
            </w:r>
          </w:p>
        </w:tc>
        <w:tc>
          <w:tcPr>
            <w:tcW w:type="dxa" w:w="5256"/>
          </w:tcPr>
          <w:p>
            <w:r>
              <w:t>Pricing values/rules.</w:t>
            </w:r>
          </w:p>
        </w:tc>
      </w:tr>
      <w:tr>
        <w:tc>
          <w:tcPr>
            <w:tcW w:type="dxa" w:w="5256"/>
          </w:tcPr>
          <w:p>
            <w:r>
              <w:t>Authentication before formal transaction</w:t>
            </w:r>
          </w:p>
        </w:tc>
        <w:tc>
          <w:tcPr>
            <w:tcW w:type="dxa" w:w="5256"/>
          </w:tcPr>
          <w:p>
            <w:r>
              <w:t>Multipliers/external costs.</w:t>
            </w:r>
          </w:p>
        </w:tc>
      </w:tr>
      <w:tr>
        <w:tc>
          <w:tcPr>
            <w:tcW w:type="dxa" w:w="5256"/>
          </w:tcPr>
          <w:p>
            <w:r>
              <w:t>Backend-authoritative pricing/payment</w:t>
            </w:r>
          </w:p>
        </w:tc>
        <w:tc>
          <w:tcPr>
            <w:tcW w:type="dxa" w:w="5256"/>
          </w:tcPr>
          <w:p>
            <w:r>
              <w:t>Escalation thresholds.</w:t>
            </w:r>
          </w:p>
        </w:tc>
      </w:tr>
      <w:tr>
        <w:tc>
          <w:tcPr>
            <w:tcW w:type="dxa" w:w="5256"/>
          </w:tcPr>
          <w:p>
            <w:r>
              <w:t>Human fallback</w:t>
            </w:r>
          </w:p>
        </w:tc>
        <w:tc>
          <w:tcPr>
            <w:tcW w:type="dxa" w:w="5256"/>
          </w:tcPr>
          <w:p>
            <w:r>
              <w:t>Quote validity.</w:t>
            </w:r>
          </w:p>
        </w:tc>
      </w:tr>
      <w:tr>
        <w:tc>
          <w:tcPr>
            <w:tcW w:type="dxa" w:w="5256"/>
          </w:tcPr>
          <w:p>
            <w:r>
              <w:t>Customer/internal data separation</w:t>
            </w:r>
          </w:p>
        </w:tc>
        <w:tc>
          <w:tcPr>
            <w:tcW w:type="dxa" w:w="5256"/>
          </w:tcPr>
          <w:p>
            <w:r>
              <w:t>Service capability configuration.</w:t>
            </w:r>
          </w:p>
        </w:tc>
      </w:tr>
      <w:tr>
        <w:tc>
          <w:tcPr>
            <w:tcW w:type="dxa" w:w="5256"/>
          </w:tcPr>
          <w:p>
            <w:r>
              <w:t>No Farewell public service</w:t>
            </w:r>
          </w:p>
        </w:tc>
        <w:tc>
          <w:tcPr>
            <w:tcW w:type="dxa" w:w="5256"/>
          </w:tcPr>
          <w:p>
            <w:r>
              <w:t>Prompts/model configuration.</w:t>
            </w:r>
          </w:p>
        </w:tc>
      </w:tr>
    </w:tbl>
    <w:p>
      <w:pPr>
        <w:pStyle w:val="Heading1"/>
      </w:pPr>
      <w:r>
        <w:t>32. Definition of done</w:t>
      </w:r>
    </w:p>
    <w:p>
      <w:pPr>
        <w:pStyle w:val="ListBullet"/>
      </w:pPr>
      <w:r>
        <w:t>The six-service public architecture is implemented.</w:t>
      </w:r>
    </w:p>
    <w:p>
      <w:pPr>
        <w:pStyle w:val="ListBullet"/>
      </w:pPr>
      <w:r>
        <w:t>Concierge works before sign-in.</w:t>
      </w:r>
    </w:p>
    <w:p>
      <w:pPr>
        <w:pStyle w:val="ListBullet"/>
      </w:pPr>
      <w:r>
        <w:t>Authentication safely bridges to formal transaction.</w:t>
      </w:r>
    </w:p>
    <w:p>
      <w:pPr>
        <w:pStyle w:val="ListBullet"/>
      </w:pPr>
      <w:r>
        <w:t>Eligible requests can automate through case, quote and payment.</w:t>
      </w:r>
    </w:p>
    <w:p>
      <w:pPr>
        <w:pStyle w:val="ListBullet"/>
      </w:pPr>
      <w:r>
        <w:t>Pricing is deterministic, configurable and auditable.</w:t>
      </w:r>
    </w:p>
    <w:p>
      <w:pPr>
        <w:pStyle w:val="ListBullet"/>
      </w:pPr>
      <w:r>
        <w:t>Unknown/unsafe conditions escalate rather than hallucinate.</w:t>
      </w:r>
    </w:p>
    <w:p>
      <w:pPr>
        <w:pStyle w:val="ListBullet"/>
      </w:pPr>
      <w:r>
        <w:t>Operations can manage escalations and exceptions.</w:t>
      </w:r>
    </w:p>
    <w:p>
      <w:pPr>
        <w:pStyle w:val="ListBullet"/>
      </w:pPr>
      <w:r>
        <w:t>Customer portal exposes accurate automation/payment state.</w:t>
      </w:r>
    </w:p>
    <w:p>
      <w:pPr>
        <w:pStyle w:val="ListBullet"/>
      </w:pPr>
      <w:r>
        <w:t>Database/API/frontend contracts align.</w:t>
      </w:r>
    </w:p>
    <w:p>
      <w:pPr>
        <w:pStyle w:val="ListBullet"/>
      </w:pPr>
      <w:r>
        <w:t>Security, authorization and payment controls pass.</w:t>
      </w:r>
    </w:p>
    <w:p>
      <w:pPr>
        <w:pStyle w:val="ListBullet"/>
      </w:pPr>
      <w:r>
        <w:t>Automation can be disabled by workflow/service.</w:t>
      </w:r>
    </w:p>
    <w:p>
      <w:pPr>
        <w:pStyle w:val="ListBullet"/>
      </w:pPr>
      <w:r>
        <w:t>End-to-end tests pass for approved automation paths.</w:t>
      </w:r>
    </w:p>
    <w:p>
      <w:pPr>
        <w:pStyle w:val="Heading1"/>
      </w:pPr>
      <w:r>
        <w:t>33. Developer handoff rule</w:t>
      </w:r>
    </w:p>
    <w:p>
      <w:r>
        <w:t>This master blueprint is the consolidated target architecture. Before implementation, the developer must inspect the existing ASOJU repository, current frontend, backend/API contracts, database schema, payment provider, pricing data and operational tools. Existing infrastructure should be reused wherever possible. Any material deviation from this blueprint should be documented rather than silently implemented.</w:t>
      </w:r>
    </w:p>
    <w:p>
      <w:pPr>
        <w:pStyle w:val="Heading1"/>
      </w:pPr>
      <w:r>
        <w:t>34. Document hierarchy</w:t>
      </w:r>
    </w:p>
    <w:tbl>
      <w:tblPr>
        <w:tblStyle w:val="TableGrid"/>
        <w:tblW w:type="auto" w:w="0"/>
        <w:tblLook w:firstColumn="1" w:firstRow="1" w:lastColumn="0" w:lastRow="0" w:noHBand="0" w:noVBand="1" w:val="04A0"/>
      </w:tblPr>
      <w:tblGrid>
        <w:gridCol w:w="5256"/>
        <w:gridCol w:w="5256"/>
      </w:tblGrid>
      <w:tr>
        <w:tc>
          <w:tcPr>
            <w:tcW w:type="dxa" w:w="5256"/>
          </w:tcPr>
          <w:p>
            <w:r>
              <w:t>Document</w:t>
            </w:r>
          </w:p>
        </w:tc>
        <w:tc>
          <w:tcPr>
            <w:tcW w:type="dxa" w:w="5256"/>
          </w:tcPr>
          <w:p>
            <w:r>
              <w:t>Current role</w:t>
            </w:r>
          </w:p>
        </w:tc>
      </w:tr>
      <w:tr>
        <w:tc>
          <w:tcPr>
            <w:tcW w:type="dxa" w:w="5256"/>
          </w:tcPr>
          <w:p>
            <w:r>
              <w:t>1 — Backend/API v2.0</w:t>
            </w:r>
          </w:p>
        </w:tc>
        <w:tc>
          <w:tcPr>
            <w:tcW w:type="dxa" w:w="5256"/>
          </w:tcPr>
          <w:p>
            <w:r>
              <w:t>Authoritative backend/API target.</w:t>
            </w:r>
          </w:p>
        </w:tc>
      </w:tr>
      <w:tr>
        <w:tc>
          <w:tcPr>
            <w:tcW w:type="dxa" w:w="5256"/>
          </w:tcPr>
          <w:p>
            <w:r>
              <w:t>2 — Database/Data Model v2.0</w:t>
            </w:r>
          </w:p>
        </w:tc>
        <w:tc>
          <w:tcPr>
            <w:tcW w:type="dxa" w:w="5256"/>
          </w:tcPr>
          <w:p>
            <w:r>
              <w:t>Authoritative logical data target.</w:t>
            </w:r>
          </w:p>
        </w:tc>
      </w:tr>
      <w:tr>
        <w:tc>
          <w:tcPr>
            <w:tcW w:type="dxa" w:w="5256"/>
          </w:tcPr>
          <w:p>
            <w:r>
              <w:t>3 — Admin/Operations v2.0</w:t>
            </w:r>
          </w:p>
        </w:tc>
        <w:tc>
          <w:tcPr>
            <w:tcW w:type="dxa" w:w="5256"/>
          </w:tcPr>
          <w:p>
            <w:r>
              <w:t>Authoritative operations/control-plane target.</w:t>
            </w:r>
          </w:p>
        </w:tc>
      </w:tr>
      <w:tr>
        <w:tc>
          <w:tcPr>
            <w:tcW w:type="dxa" w:w="5256"/>
          </w:tcPr>
          <w:p>
            <w:r>
              <w:t>4 — AI Concierge &amp; Automation v2.0</w:t>
            </w:r>
          </w:p>
        </w:tc>
        <w:tc>
          <w:tcPr>
            <w:tcW w:type="dxa" w:w="5256"/>
          </w:tcPr>
          <w:p>
            <w:r>
              <w:t>Authoritative AI/automation target.</w:t>
            </w:r>
          </w:p>
        </w:tc>
      </w:tr>
      <w:tr>
        <w:tc>
          <w:tcPr>
            <w:tcW w:type="dxa" w:w="5256"/>
          </w:tcPr>
          <w:p>
            <w:r>
              <w:t>5 — Customer Portal v2.0</w:t>
            </w:r>
          </w:p>
        </w:tc>
        <w:tc>
          <w:tcPr>
            <w:tcW w:type="dxa" w:w="5256"/>
          </w:tcPr>
          <w:p>
            <w:r>
              <w:t>Authoritative authenticated customer UX target.</w:t>
            </w:r>
          </w:p>
        </w:tc>
      </w:tr>
      <w:tr>
        <w:tc>
          <w:tcPr>
            <w:tcW w:type="dxa" w:w="5256"/>
          </w:tcPr>
          <w:p>
            <w:r>
              <w:t>Master Blueprint v2.0</w:t>
            </w:r>
          </w:p>
        </w:tc>
        <w:tc>
          <w:tcPr>
            <w:tcW w:type="dxa" w:w="5256"/>
          </w:tcPr>
          <w:p>
            <w:r>
              <w:t>Consolidated cross-system handoff and alignment layer.</w:t>
            </w:r>
          </w:p>
        </w:tc>
      </w:tr>
    </w:tbl>
    <w:p>
      <w:r>
        <w:t>Where a detailed document contains implementation-specific detail, that document governs its domain; this master blueprint governs cross-domain alignment.</w:t>
      </w:r>
    </w:p>
    <w:sectPr w:rsidR="00FC693F" w:rsidRPr="0006063C" w:rsidSect="00034616">
      <w:pgSz w:w="12240" w:h="15840"/>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