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ASOJU FieldForce</w:t>
        <w:br/>
        <w:t>Agent Operating System &amp; Workforce Framework v1.0</w:t>
      </w:r>
    </w:p>
    <w:p>
      <w:pPr>
        <w:jc w:val="center"/>
      </w:pPr>
      <w:r>
        <w:rPr>
          <w:b/>
        </w:rPr>
        <w:t>Recruit • Verify • Train • Certify • Deploy • Measure • Develop • Retain</w:t>
      </w:r>
    </w:p>
    <w:p>
      <w:r>
        <w:t>Purpose: define the complete workforce system for building and maintaining a trusted, experienced, geographically distributed pool of FieldForce operators who can reliably service ASOJU and approved external clients.</w:t>
      </w:r>
    </w:p>
    <w:p>
      <w:pPr>
        <w:pStyle w:val="Heading1"/>
      </w:pPr>
      <w:r>
        <w:t>1. Workforce Philosophy</w:t>
      </w:r>
    </w:p>
    <w:p>
      <w:r>
        <w:t>FieldForce should not optimize for the largest number of registered agents. It should optimize for the largest number of verified, capable, experienced, available, and trustworthy operators who can actually execute missions.</w:t>
      </w:r>
    </w:p>
    <w:p>
      <w:r>
        <w:t>The workforce is a strategic ASOJU asset. Every operational process should increase trust, readiness, experience, evidence quality, and geographic coverage.</w:t>
      </w:r>
    </w:p>
    <w:p>
      <w:pPr>
        <w:pStyle w:val="Heading1"/>
      </w:pPr>
      <w:r>
        <w:t>2. Workforce Lifecycle</w:t>
      </w:r>
    </w:p>
    <w:p>
      <w:r>
        <w:t>Recruit → Screen → Verify → Onboard → Train → Certify → Activate → Deploy → Measure → Develop → Retain → Advance</w:t>
      </w:r>
    </w:p>
    <w:p>
      <w:r>
        <w:t>Every stage should have explicit entry criteria, exit criteria, records, and responsible owners.</w:t>
      </w:r>
    </w:p>
    <w:p>
      <w:pPr>
        <w:pStyle w:val="Heading1"/>
      </w:pPr>
      <w:r>
        <w:t>3. Agent Identity</w:t>
      </w:r>
    </w:p>
    <w:p>
      <w:r>
        <w:t>Every operator receives a unique FieldForce identity.</w:t>
      </w:r>
    </w:p>
    <w:p>
      <w:pPr>
        <w:pStyle w:val="ListBullet"/>
      </w:pPr>
      <w:r>
        <w:t>FieldForce Operator ID</w:t>
      </w:r>
    </w:p>
    <w:p>
      <w:pPr>
        <w:pStyle w:val="ListBullet"/>
      </w:pPr>
      <w:r>
        <w:t>Identity/KYC status</w:t>
      </w:r>
    </w:p>
    <w:p>
      <w:pPr>
        <w:pStyle w:val="ListBullet"/>
      </w:pPr>
      <w:r>
        <w:t>Profile</w:t>
      </w:r>
    </w:p>
    <w:p>
      <w:pPr>
        <w:pStyle w:val="ListBullet"/>
      </w:pPr>
      <w:r>
        <w:t>Operating geography</w:t>
      </w:r>
    </w:p>
    <w:p>
      <w:pPr>
        <w:pStyle w:val="ListBullet"/>
      </w:pPr>
      <w:r>
        <w:t>Capabilities</w:t>
      </w:r>
    </w:p>
    <w:p>
      <w:pPr>
        <w:pStyle w:val="ListBullet"/>
      </w:pPr>
      <w:r>
        <w:t>Certifications</w:t>
      </w:r>
    </w:p>
    <w:p>
      <w:pPr>
        <w:pStyle w:val="ListBullet"/>
      </w:pPr>
      <w:r>
        <w:t>Experience record</w:t>
      </w:r>
    </w:p>
    <w:p>
      <w:pPr>
        <w:pStyle w:val="ListBullet"/>
      </w:pPr>
      <w:r>
        <w:t>Tier</w:t>
      </w:r>
    </w:p>
    <w:p>
      <w:pPr>
        <w:pStyle w:val="ListBullet"/>
      </w:pPr>
      <w:r>
        <w:t>Performance profile</w:t>
      </w:r>
    </w:p>
    <w:p>
      <w:pPr>
        <w:pStyle w:val="ListBullet"/>
      </w:pPr>
      <w:r>
        <w:t>Availability</w:t>
      </w:r>
    </w:p>
    <w:p>
      <w:pPr>
        <w:pStyle w:val="ListBullet"/>
      </w:pPr>
      <w:r>
        <w:t>Mission history</w:t>
      </w:r>
    </w:p>
    <w:p>
      <w:pPr>
        <w:pStyle w:val="ListBullet"/>
      </w:pPr>
      <w:r>
        <w:t>Safety record</w:t>
      </w:r>
    </w:p>
    <w:p>
      <w:pPr>
        <w:pStyle w:val="ListBullet"/>
      </w:pPr>
      <w:r>
        <w:t>Payout profile</w:t>
      </w:r>
    </w:p>
    <w:p>
      <w:pPr>
        <w:pStyle w:val="ListBullet"/>
      </w:pPr>
      <w:r>
        <w:t>Trusted devices</w:t>
      </w:r>
    </w:p>
    <w:p>
      <w:r>
        <w:t>The same identity is used across ASOJU and external FieldForce missions. Agents do not create separate client-specific identities.</w:t>
      </w:r>
    </w:p>
    <w:p>
      <w:pPr>
        <w:pStyle w:val="Heading1"/>
      </w:pPr>
      <w:r>
        <w:t>4. Recruitment Strategy</w:t>
      </w:r>
    </w:p>
    <w:p>
      <w:r>
        <w:t>Recruitment should be demand-led and geography-led.</w:t>
      </w:r>
    </w:p>
    <w:p>
      <w:pPr>
        <w:pStyle w:val="ListBullet"/>
      </w:pPr>
      <w:r>
        <w:t>Prioritize high-demand LGAs/cities.</w:t>
      </w:r>
    </w:p>
    <w:p>
      <w:pPr>
        <w:pStyle w:val="ListBullet"/>
      </w:pPr>
      <w:r>
        <w:t>Recruit for service capabilities, not just location.</w:t>
      </w:r>
    </w:p>
    <w:p>
      <w:pPr>
        <w:pStyle w:val="ListBullet"/>
      </w:pPr>
      <w:r>
        <w:t>Use referrals from proven agents.</w:t>
      </w:r>
    </w:p>
    <w:p>
      <w:pPr>
        <w:pStyle w:val="ListBullet"/>
      </w:pPr>
      <w:r>
        <w:t>Maintain a candidate pipeline in strategic locations.</w:t>
      </w:r>
    </w:p>
    <w:p>
      <w:pPr>
        <w:pStyle w:val="ListBullet"/>
      </w:pPr>
      <w:r>
        <w:t>Recruit specialist operators where ordinary gig recruitment is insufficient.</w:t>
      </w:r>
    </w:p>
    <w:p>
      <w:pPr>
        <w:pStyle w:val="ListBullet"/>
      </w:pPr>
      <w:r>
        <w:t>Use demand forecasts and reserve thresholds to trigger campaigns.</w:t>
      </w:r>
    </w:p>
    <w:p>
      <w:pPr>
        <w:pStyle w:val="Heading1"/>
      </w:pPr>
      <w:r>
        <w:t>5. Agent Candidate Sources</w:t>
      </w:r>
    </w:p>
    <w:p>
      <w:pPr>
        <w:pStyle w:val="ListBullet"/>
      </w:pPr>
      <w:r>
        <w:t>Professional referrals</w:t>
      </w:r>
    </w:p>
    <w:p>
      <w:pPr>
        <w:pStyle w:val="ListBullet"/>
      </w:pPr>
      <w:r>
        <w:t>Community networks</w:t>
      </w:r>
    </w:p>
    <w:p>
      <w:pPr>
        <w:pStyle w:val="ListBullet"/>
      </w:pPr>
      <w:r>
        <w:t>Local business networks</w:t>
      </w:r>
    </w:p>
    <w:p>
      <w:pPr>
        <w:pStyle w:val="ListBullet"/>
      </w:pPr>
      <w:r>
        <w:t>Real-estate/property networks</w:t>
      </w:r>
    </w:p>
    <w:p>
      <w:pPr>
        <w:pStyle w:val="ListBullet"/>
      </w:pPr>
      <w:r>
        <w:t>University/graduate networks</w:t>
      </w:r>
    </w:p>
    <w:p>
      <w:pPr>
        <w:pStyle w:val="ListBullet"/>
      </w:pPr>
      <w:r>
        <w:t>Trade and technical communities</w:t>
      </w:r>
    </w:p>
    <w:p>
      <w:pPr>
        <w:pStyle w:val="ListBullet"/>
      </w:pPr>
      <w:r>
        <w:t>Digital recruitment campaigns</w:t>
      </w:r>
    </w:p>
    <w:p>
      <w:pPr>
        <w:pStyle w:val="ListBullet"/>
      </w:pPr>
      <w:r>
        <w:t>Existing high-performing agent referrals</w:t>
      </w:r>
    </w:p>
    <w:p>
      <w:r>
        <w:t>Referral programs should reward quality and retention, not merely registrations.</w:t>
      </w:r>
    </w:p>
    <w:p>
      <w:pPr>
        <w:pStyle w:val="Heading1"/>
      </w:pPr>
      <w:r>
        <w:t>6. Screening</w:t>
      </w:r>
    </w:p>
    <w:p>
      <w:r>
        <w:t>Before full verification, candidates should undergo a structured suitability screen.</w:t>
      </w:r>
    </w:p>
    <w:tbl>
      <w:tblPr>
        <w:tblStyle w:val="TableGrid"/>
        <w:tblW w:type="auto" w:w="0"/>
        <w:jc w:val="center"/>
        <w:tblLook w:firstColumn="1" w:firstRow="1" w:lastColumn="0" w:lastRow="0" w:noHBand="0" w:noVBand="1" w:val="04A0"/>
      </w:tblPr>
      <w:tblGrid>
        <w:gridCol w:w="5112"/>
        <w:gridCol w:w="5112"/>
      </w:tblGrid>
      <w:tr>
        <w:tc>
          <w:tcPr>
            <w:tcW w:type="dxa" w:w="5112"/>
          </w:tcPr>
          <w:p>
            <w:r>
              <w:t>Dimension</w:t>
            </w:r>
          </w:p>
        </w:tc>
        <w:tc>
          <w:tcPr>
            <w:tcW w:type="dxa" w:w="5112"/>
          </w:tcPr>
          <w:p>
            <w:r>
              <w:t>What to assess</w:t>
            </w:r>
          </w:p>
        </w:tc>
      </w:tr>
      <w:tr>
        <w:tc>
          <w:tcPr>
            <w:tcW w:type="dxa" w:w="5112"/>
          </w:tcPr>
          <w:p>
            <w:r>
              <w:t>Identity</w:t>
            </w:r>
          </w:p>
        </w:tc>
        <w:tc>
          <w:tcPr>
            <w:tcW w:type="dxa" w:w="5112"/>
          </w:tcPr>
          <w:p>
            <w:r>
              <w:t>Consistency and authenticity</w:t>
            </w:r>
          </w:p>
        </w:tc>
      </w:tr>
      <w:tr>
        <w:tc>
          <w:tcPr>
            <w:tcW w:type="dxa" w:w="5112"/>
          </w:tcPr>
          <w:p>
            <w:r>
              <w:t>Location</w:t>
            </w:r>
          </w:p>
        </w:tc>
        <w:tc>
          <w:tcPr>
            <w:tcW w:type="dxa" w:w="5112"/>
          </w:tcPr>
          <w:p>
            <w:r>
              <w:t>Actual operating area</w:t>
            </w:r>
          </w:p>
        </w:tc>
      </w:tr>
      <w:tr>
        <w:tc>
          <w:tcPr>
            <w:tcW w:type="dxa" w:w="5112"/>
          </w:tcPr>
          <w:p>
            <w:r>
              <w:t>Mobility</w:t>
            </w:r>
          </w:p>
        </w:tc>
        <w:tc>
          <w:tcPr>
            <w:tcW w:type="dxa" w:w="5112"/>
          </w:tcPr>
          <w:p>
            <w:r>
              <w:t>Ability to travel within agreed area</w:t>
            </w:r>
          </w:p>
        </w:tc>
      </w:tr>
      <w:tr>
        <w:tc>
          <w:tcPr>
            <w:tcW w:type="dxa" w:w="5112"/>
          </w:tcPr>
          <w:p>
            <w:r>
              <w:t>Communication</w:t>
            </w:r>
          </w:p>
        </w:tc>
        <w:tc>
          <w:tcPr>
            <w:tcW w:type="dxa" w:w="5112"/>
          </w:tcPr>
          <w:p>
            <w:r>
              <w:t>Responsiveness and clarity</w:t>
            </w:r>
          </w:p>
        </w:tc>
      </w:tr>
      <w:tr>
        <w:tc>
          <w:tcPr>
            <w:tcW w:type="dxa" w:w="5112"/>
          </w:tcPr>
          <w:p>
            <w:r>
              <w:t>Technology</w:t>
            </w:r>
          </w:p>
        </w:tc>
        <w:tc>
          <w:tcPr>
            <w:tcW w:type="dxa" w:w="5112"/>
          </w:tcPr>
          <w:p>
            <w:r>
              <w:t>Smartphone, camera, GPS, data reliability</w:t>
            </w:r>
          </w:p>
        </w:tc>
      </w:tr>
      <w:tr>
        <w:tc>
          <w:tcPr>
            <w:tcW w:type="dxa" w:w="5112"/>
          </w:tcPr>
          <w:p>
            <w:r>
              <w:t>Experience</w:t>
            </w:r>
          </w:p>
        </w:tc>
        <w:tc>
          <w:tcPr>
            <w:tcW w:type="dxa" w:w="5112"/>
          </w:tcPr>
          <w:p>
            <w:r>
              <w:t>Relevant field/service experience</w:t>
            </w:r>
          </w:p>
        </w:tc>
      </w:tr>
      <w:tr>
        <w:tc>
          <w:tcPr>
            <w:tcW w:type="dxa" w:w="5112"/>
          </w:tcPr>
          <w:p>
            <w:r>
              <w:t>Integrity</w:t>
            </w:r>
          </w:p>
        </w:tc>
        <w:tc>
          <w:tcPr>
            <w:tcW w:type="dxa" w:w="5112"/>
          </w:tcPr>
          <w:p>
            <w:r>
              <w:t>References/history where appropriate</w:t>
            </w:r>
          </w:p>
        </w:tc>
      </w:tr>
      <w:tr>
        <w:tc>
          <w:tcPr>
            <w:tcW w:type="dxa" w:w="5112"/>
          </w:tcPr>
          <w:p>
            <w:r>
              <w:t>Availability</w:t>
            </w:r>
          </w:p>
        </w:tc>
        <w:tc>
          <w:tcPr>
            <w:tcW w:type="dxa" w:w="5112"/>
          </w:tcPr>
          <w:p>
            <w:r>
              <w:t>Realistic working capacity</w:t>
            </w:r>
          </w:p>
        </w:tc>
      </w:tr>
      <w:tr>
        <w:tc>
          <w:tcPr>
            <w:tcW w:type="dxa" w:w="5112"/>
          </w:tcPr>
          <w:p>
            <w:r>
              <w:t>Service attitude</w:t>
            </w:r>
          </w:p>
        </w:tc>
        <w:tc>
          <w:tcPr>
            <w:tcW w:type="dxa" w:w="5112"/>
          </w:tcPr>
          <w:p>
            <w:r>
              <w:t>Professional conduct</w:t>
            </w:r>
          </w:p>
        </w:tc>
      </w:tr>
    </w:tbl>
    <w:p>
      <w:pPr>
        <w:pStyle w:val="Heading1"/>
      </w:pPr>
      <w:r>
        <w:t>7. KYC &amp; Verification</w:t>
      </w:r>
    </w:p>
    <w:p>
      <w:r>
        <w:t>No agent should become fully deployable until required verification is completed.</w:t>
      </w:r>
    </w:p>
    <w:p>
      <w:pPr>
        <w:pStyle w:val="ListBullet"/>
      </w:pPr>
      <w:r>
        <w:t>Identity document verification</w:t>
      </w:r>
    </w:p>
    <w:p>
      <w:pPr>
        <w:pStyle w:val="ListBullet"/>
      </w:pPr>
      <w:r>
        <w:t>Selfie/identity match where required</w:t>
      </w:r>
    </w:p>
    <w:p>
      <w:pPr>
        <w:pStyle w:val="ListBullet"/>
      </w:pPr>
      <w:r>
        <w:t>Phone/email verification</w:t>
      </w:r>
    </w:p>
    <w:p>
      <w:pPr>
        <w:pStyle w:val="ListBullet"/>
      </w:pPr>
      <w:r>
        <w:t>Bank/payout verification</w:t>
      </w:r>
    </w:p>
    <w:p>
      <w:pPr>
        <w:pStyle w:val="ListBullet"/>
      </w:pPr>
      <w:r>
        <w:t>Address/location information</w:t>
      </w:r>
    </w:p>
    <w:p>
      <w:pPr>
        <w:pStyle w:val="ListBullet"/>
      </w:pPr>
      <w:r>
        <w:t>Reference/background checks for applicable roles</w:t>
      </w:r>
    </w:p>
    <w:p>
      <w:pPr>
        <w:pStyle w:val="ListBullet"/>
      </w:pPr>
      <w:r>
        <w:t>Device registration</w:t>
      </w:r>
    </w:p>
    <w:p>
      <w:pPr>
        <w:pStyle w:val="ListBullet"/>
      </w:pPr>
      <w:r>
        <w:t>Acceptance of FieldForce terms and policies</w:t>
      </w:r>
    </w:p>
    <w:p>
      <w:r>
        <w:t>Verification requirements should be risk-based. Higher-risk missions may require higher verification levels.</w:t>
      </w:r>
    </w:p>
    <w:p>
      <w:pPr>
        <w:pStyle w:val="Heading1"/>
      </w:pPr>
      <w:r>
        <w:t>8. Verification Levels</w:t>
      </w:r>
    </w:p>
    <w:tbl>
      <w:tblPr>
        <w:tblStyle w:val="TableGrid"/>
        <w:tblW w:type="auto" w:w="0"/>
        <w:jc w:val="center"/>
        <w:tblLook w:firstColumn="1" w:firstRow="1" w:lastColumn="0" w:lastRow="0" w:noHBand="0" w:noVBand="1" w:val="04A0"/>
      </w:tblPr>
      <w:tblGrid>
        <w:gridCol w:w="5112"/>
        <w:gridCol w:w="5112"/>
      </w:tblGrid>
      <w:tr>
        <w:tc>
          <w:tcPr>
            <w:tcW w:type="dxa" w:w="5112"/>
          </w:tcPr>
          <w:p>
            <w:r>
              <w:t>Level</w:t>
            </w:r>
          </w:p>
        </w:tc>
        <w:tc>
          <w:tcPr>
            <w:tcW w:type="dxa" w:w="5112"/>
          </w:tcPr>
          <w:p>
            <w:r>
              <w:t>Meaning</w:t>
            </w:r>
          </w:p>
        </w:tc>
      </w:tr>
      <w:tr>
        <w:tc>
          <w:tcPr>
            <w:tcW w:type="dxa" w:w="5112"/>
          </w:tcPr>
          <w:p>
            <w:r>
              <w:t>Applicant</w:t>
            </w:r>
          </w:p>
        </w:tc>
        <w:tc>
          <w:tcPr>
            <w:tcW w:type="dxa" w:w="5112"/>
          </w:tcPr>
          <w:p>
            <w:r>
              <w:t>Registered but not verified</w:t>
            </w:r>
          </w:p>
        </w:tc>
      </w:tr>
      <w:tr>
        <w:tc>
          <w:tcPr>
            <w:tcW w:type="dxa" w:w="5112"/>
          </w:tcPr>
          <w:p>
            <w:r>
              <w:t>Identity Verified</w:t>
            </w:r>
          </w:p>
        </w:tc>
        <w:tc>
          <w:tcPr>
            <w:tcW w:type="dxa" w:w="5112"/>
          </w:tcPr>
          <w:p>
            <w:r>
              <w:t>Core identity confirmed</w:t>
            </w:r>
          </w:p>
        </w:tc>
      </w:tr>
      <w:tr>
        <w:tc>
          <w:tcPr>
            <w:tcW w:type="dxa" w:w="5112"/>
          </w:tcPr>
          <w:p>
            <w:r>
              <w:t>Field Verified</w:t>
            </w:r>
          </w:p>
        </w:tc>
        <w:tc>
          <w:tcPr>
            <w:tcW w:type="dxa" w:w="5112"/>
          </w:tcPr>
          <w:p>
            <w:r>
              <w:t>Ready for standard fieldwork</w:t>
            </w:r>
          </w:p>
        </w:tc>
      </w:tr>
      <w:tr>
        <w:tc>
          <w:tcPr>
            <w:tcW w:type="dxa" w:w="5112"/>
          </w:tcPr>
          <w:p>
            <w:r>
              <w:t>Specialist Verified</w:t>
            </w:r>
          </w:p>
        </w:tc>
        <w:tc>
          <w:tcPr>
            <w:tcW w:type="dxa" w:w="5112"/>
          </w:tcPr>
          <w:p>
            <w:r>
              <w:t>Approved for specialist/high-trust work</w:t>
            </w:r>
          </w:p>
        </w:tc>
      </w:tr>
      <w:tr>
        <w:tc>
          <w:tcPr>
            <w:tcW w:type="dxa" w:w="5112"/>
          </w:tcPr>
          <w:p>
            <w:r>
              <w:t>Restricted</w:t>
            </w:r>
          </w:p>
        </w:tc>
        <w:tc>
          <w:tcPr>
            <w:tcW w:type="dxa" w:w="5112"/>
          </w:tcPr>
          <w:p>
            <w:r>
              <w:t>Temporarily limited</w:t>
            </w:r>
          </w:p>
        </w:tc>
      </w:tr>
      <w:tr>
        <w:tc>
          <w:tcPr>
            <w:tcW w:type="dxa" w:w="5112"/>
          </w:tcPr>
          <w:p>
            <w:r>
              <w:t>Suspended</w:t>
            </w:r>
          </w:p>
        </w:tc>
        <w:tc>
          <w:tcPr>
            <w:tcW w:type="dxa" w:w="5112"/>
          </w:tcPr>
          <w:p>
            <w:r>
              <w:t>Cannot receive missions</w:t>
            </w:r>
          </w:p>
        </w:tc>
      </w:tr>
    </w:tbl>
    <w:p>
      <w:pPr>
        <w:pStyle w:val="Heading1"/>
      </w:pPr>
      <w:r>
        <w:t>9. Onboarding</w:t>
      </w:r>
    </w:p>
    <w:p>
      <w:r>
        <w:t>Onboarding should establish the standards expected from every FieldForce operator.</w:t>
      </w:r>
    </w:p>
    <w:p>
      <w:pPr>
        <w:pStyle w:val="ListBullet"/>
      </w:pPr>
      <w:r>
        <w:t>Mission lifecycle</w:t>
      </w:r>
    </w:p>
    <w:p>
      <w:pPr>
        <w:pStyle w:val="ListBullet"/>
      </w:pPr>
      <w:r>
        <w:t>Evidence standards</w:t>
      </w:r>
    </w:p>
    <w:p>
      <w:pPr>
        <w:pStyle w:val="ListBullet"/>
      </w:pPr>
      <w:r>
        <w:t>GPS/check-in</w:t>
      </w:r>
    </w:p>
    <w:p>
      <w:pPr>
        <w:pStyle w:val="ListBullet"/>
      </w:pPr>
      <w:r>
        <w:t>Offline operation</w:t>
      </w:r>
    </w:p>
    <w:p>
      <w:pPr>
        <w:pStyle w:val="ListBullet"/>
      </w:pPr>
      <w:r>
        <w:t>Safety</w:t>
      </w:r>
    </w:p>
    <w:p>
      <w:pPr>
        <w:pStyle w:val="ListBullet"/>
      </w:pPr>
      <w:r>
        <w:t>Privacy</w:t>
      </w:r>
    </w:p>
    <w:p>
      <w:pPr>
        <w:pStyle w:val="ListBullet"/>
      </w:pPr>
      <w:r>
        <w:t>Customer/beneficiary interaction</w:t>
      </w:r>
    </w:p>
    <w:p>
      <w:pPr>
        <w:pStyle w:val="ListBullet"/>
      </w:pPr>
      <w:r>
        <w:t>Escalation</w:t>
      </w:r>
    </w:p>
    <w:p>
      <w:pPr>
        <w:pStyle w:val="ListBullet"/>
      </w:pPr>
      <w:r>
        <w:t>Fraud awareness</w:t>
      </w:r>
    </w:p>
    <w:p>
      <w:pPr>
        <w:pStyle w:val="ListBullet"/>
      </w:pPr>
      <w:r>
        <w:t>Payout rules</w:t>
      </w:r>
    </w:p>
    <w:p>
      <w:pPr>
        <w:pStyle w:val="ListBullet"/>
      </w:pPr>
      <w:r>
        <w:t>Code of conduct</w:t>
      </w:r>
    </w:p>
    <w:p>
      <w:pPr>
        <w:pStyle w:val="ListBullet"/>
      </w:pPr>
      <w:r>
        <w:t>Professional communication</w:t>
      </w:r>
    </w:p>
    <w:p>
      <w:pPr>
        <w:pStyle w:val="Heading1"/>
      </w:pPr>
      <w:r>
        <w:t>10. Core Certification</w:t>
      </w:r>
    </w:p>
    <w:p>
      <w:r>
        <w:t>Every active agent should complete a core FieldForce certification before receiving normal missions.</w:t>
      </w:r>
    </w:p>
    <w:tbl>
      <w:tblPr>
        <w:tblStyle w:val="TableGrid"/>
        <w:tblW w:type="auto" w:w="0"/>
        <w:jc w:val="center"/>
        <w:tblLook w:firstColumn="1" w:firstRow="1" w:lastColumn="0" w:lastRow="0" w:noHBand="0" w:noVBand="1" w:val="04A0"/>
      </w:tblPr>
      <w:tblGrid>
        <w:gridCol w:w="5112"/>
        <w:gridCol w:w="5112"/>
      </w:tblGrid>
      <w:tr>
        <w:tc>
          <w:tcPr>
            <w:tcW w:type="dxa" w:w="5112"/>
          </w:tcPr>
          <w:p>
            <w:r>
              <w:t>Module</w:t>
            </w:r>
          </w:p>
        </w:tc>
        <w:tc>
          <w:tcPr>
            <w:tcW w:type="dxa" w:w="5112"/>
          </w:tcPr>
          <w:p>
            <w:r>
              <w:t>Outcome</w:t>
            </w:r>
          </w:p>
        </w:tc>
      </w:tr>
      <w:tr>
        <w:tc>
          <w:tcPr>
            <w:tcW w:type="dxa" w:w="5112"/>
          </w:tcPr>
          <w:p>
            <w:r>
              <w:t>FieldForce Standards</w:t>
            </w:r>
          </w:p>
        </w:tc>
        <w:tc>
          <w:tcPr>
            <w:tcW w:type="dxa" w:w="5112"/>
          </w:tcPr>
          <w:p>
            <w:r>
              <w:t>Understands operating rules</w:t>
            </w:r>
          </w:p>
        </w:tc>
      </w:tr>
      <w:tr>
        <w:tc>
          <w:tcPr>
            <w:tcW w:type="dxa" w:w="5112"/>
          </w:tcPr>
          <w:p>
            <w:r>
              <w:t>Evidence</w:t>
            </w:r>
          </w:p>
        </w:tc>
        <w:tc>
          <w:tcPr>
            <w:tcW w:type="dxa" w:w="5112"/>
          </w:tcPr>
          <w:p>
            <w:r>
              <w:t>Can capture defensible evidence</w:t>
            </w:r>
          </w:p>
        </w:tc>
      </w:tr>
      <w:tr>
        <w:tc>
          <w:tcPr>
            <w:tcW w:type="dxa" w:w="5112"/>
          </w:tcPr>
          <w:p>
            <w:r>
              <w:t>GPS</w:t>
            </w:r>
          </w:p>
        </w:tc>
        <w:tc>
          <w:tcPr>
            <w:tcW w:type="dxa" w:w="5112"/>
          </w:tcPr>
          <w:p>
            <w:r>
              <w:t>Understands physical-presence requirements</w:t>
            </w:r>
          </w:p>
        </w:tc>
      </w:tr>
      <w:tr>
        <w:tc>
          <w:tcPr>
            <w:tcW w:type="dxa" w:w="5112"/>
          </w:tcPr>
          <w:p>
            <w:r>
              <w:t>Safety</w:t>
            </w:r>
          </w:p>
        </w:tc>
        <w:tc>
          <w:tcPr>
            <w:tcW w:type="dxa" w:w="5112"/>
          </w:tcPr>
          <w:p>
            <w:r>
              <w:t>Knows when/how to stop and escalate</w:t>
            </w:r>
          </w:p>
        </w:tc>
      </w:tr>
      <w:tr>
        <w:tc>
          <w:tcPr>
            <w:tcW w:type="dxa" w:w="5112"/>
          </w:tcPr>
          <w:p>
            <w:r>
              <w:t>Privacy</w:t>
            </w:r>
          </w:p>
        </w:tc>
        <w:tc>
          <w:tcPr>
            <w:tcW w:type="dxa" w:w="5112"/>
          </w:tcPr>
          <w:p>
            <w:r>
              <w:t>Protects client/customer information</w:t>
            </w:r>
          </w:p>
        </w:tc>
      </w:tr>
      <w:tr>
        <w:tc>
          <w:tcPr>
            <w:tcW w:type="dxa" w:w="5112"/>
          </w:tcPr>
          <w:p>
            <w:r>
              <w:t>Mission Execution</w:t>
            </w:r>
          </w:p>
        </w:tc>
        <w:tc>
          <w:tcPr>
            <w:tcW w:type="dxa" w:w="5112"/>
          </w:tcPr>
          <w:p>
            <w:r>
              <w:t>Can follow a CaseScope/checklist</w:t>
            </w:r>
          </w:p>
        </w:tc>
      </w:tr>
      <w:tr>
        <w:tc>
          <w:tcPr>
            <w:tcW w:type="dxa" w:w="5112"/>
          </w:tcPr>
          <w:p>
            <w:r>
              <w:t>Technology</w:t>
            </w:r>
          </w:p>
        </w:tc>
        <w:tc>
          <w:tcPr>
            <w:tcW w:type="dxa" w:w="5112"/>
          </w:tcPr>
          <w:p>
            <w:r>
              <w:t>Can operate the PWA and offline sync</w:t>
            </w:r>
          </w:p>
        </w:tc>
      </w:tr>
      <w:tr>
        <w:tc>
          <w:tcPr>
            <w:tcW w:type="dxa" w:w="5112"/>
          </w:tcPr>
          <w:p>
            <w:r>
              <w:t>Integrity</w:t>
            </w:r>
          </w:p>
        </w:tc>
        <w:tc>
          <w:tcPr>
            <w:tcW w:type="dxa" w:w="5112"/>
          </w:tcPr>
          <w:p>
            <w:r>
              <w:t>Understands prohibited behavior</w:t>
            </w:r>
          </w:p>
        </w:tc>
      </w:tr>
    </w:tbl>
    <w:p>
      <w:pPr>
        <w:pStyle w:val="Heading1"/>
      </w:pPr>
      <w:r>
        <w:t>11. Capability Framework</w:t>
      </w:r>
    </w:p>
    <w:p>
      <w:r>
        <w:t>Capabilities define the types of work an agent is qualified to perform.</w:t>
      </w:r>
    </w:p>
    <w:p>
      <w:pPr>
        <w:pStyle w:val="ListBullet"/>
      </w:pPr>
      <w:r>
        <w:t>Property inspection</w:t>
      </w:r>
    </w:p>
    <w:p>
      <w:pPr>
        <w:pStyle w:val="ListBullet"/>
      </w:pPr>
      <w:r>
        <w:t>Property verification</w:t>
      </w:r>
    </w:p>
    <w:p>
      <w:pPr>
        <w:pStyle w:val="ListBullet"/>
      </w:pPr>
      <w:r>
        <w:t>Document retrieval</w:t>
      </w:r>
    </w:p>
    <w:p>
      <w:pPr>
        <w:pStyle w:val="ListBullet"/>
      </w:pPr>
      <w:r>
        <w:t>Business verification</w:t>
      </w:r>
    </w:p>
    <w:p>
      <w:pPr>
        <w:pStyle w:val="ListBullet"/>
      </w:pPr>
      <w:r>
        <w:t>Address verification</w:t>
      </w:r>
    </w:p>
    <w:p>
      <w:pPr>
        <w:pStyle w:val="ListBullet"/>
      </w:pPr>
      <w:r>
        <w:t>Asset verification</w:t>
      </w:r>
    </w:p>
    <w:p>
      <w:pPr>
        <w:pStyle w:val="ListBullet"/>
      </w:pPr>
      <w:r>
        <w:t>Construction/site inspection</w:t>
      </w:r>
    </w:p>
    <w:p>
      <w:pPr>
        <w:pStyle w:val="ListBullet"/>
      </w:pPr>
      <w:r>
        <w:t>Inventory verification</w:t>
      </w:r>
    </w:p>
    <w:p>
      <w:pPr>
        <w:pStyle w:val="ListBullet"/>
      </w:pPr>
      <w:r>
        <w:t>Government-office visits</w:t>
      </w:r>
    </w:p>
    <w:p>
      <w:pPr>
        <w:pStyle w:val="ListBullet"/>
      </w:pPr>
      <w:r>
        <w:t>Specialized photography/video</w:t>
      </w:r>
    </w:p>
    <w:p>
      <w:pPr>
        <w:pStyle w:val="ListBullet"/>
      </w:pPr>
      <w:r>
        <w:t>Site supervision</w:t>
      </w:r>
    </w:p>
    <w:p>
      <w:pPr>
        <w:pStyle w:val="ListBullet"/>
      </w:pPr>
      <w:r>
        <w:t>Custom specialist missions</w:t>
      </w:r>
    </w:p>
    <w:p>
      <w:pPr>
        <w:pStyle w:val="Heading1"/>
      </w:pPr>
      <w:r>
        <w:t>12. Capability Status</w:t>
      </w:r>
    </w:p>
    <w:tbl>
      <w:tblPr>
        <w:tblStyle w:val="TableGrid"/>
        <w:tblW w:type="auto" w:w="0"/>
        <w:jc w:val="center"/>
        <w:tblLook w:firstColumn="1" w:firstRow="1" w:lastColumn="0" w:lastRow="0" w:noHBand="0" w:noVBand="1" w:val="04A0"/>
      </w:tblPr>
      <w:tblGrid>
        <w:gridCol w:w="5112"/>
        <w:gridCol w:w="5112"/>
      </w:tblGrid>
      <w:tr>
        <w:tc>
          <w:tcPr>
            <w:tcW w:type="dxa" w:w="5112"/>
          </w:tcPr>
          <w:p>
            <w:r>
              <w:t>Status</w:t>
            </w:r>
          </w:p>
        </w:tc>
        <w:tc>
          <w:tcPr>
            <w:tcW w:type="dxa" w:w="5112"/>
          </w:tcPr>
          <w:p>
            <w:r>
              <w:t>Meaning</w:t>
            </w:r>
          </w:p>
        </w:tc>
      </w:tr>
      <w:tr>
        <w:tc>
          <w:tcPr>
            <w:tcW w:type="dxa" w:w="5112"/>
          </w:tcPr>
          <w:p>
            <w:r>
              <w:t>Pending</w:t>
            </w:r>
          </w:p>
        </w:tc>
        <w:tc>
          <w:tcPr>
            <w:tcW w:type="dxa" w:w="5112"/>
          </w:tcPr>
          <w:p>
            <w:r>
              <w:t>Not assessed</w:t>
            </w:r>
          </w:p>
        </w:tc>
      </w:tr>
      <w:tr>
        <w:tc>
          <w:tcPr>
            <w:tcW w:type="dxa" w:w="5112"/>
          </w:tcPr>
          <w:p>
            <w:r>
              <w:t>Eligible</w:t>
            </w:r>
          </w:p>
        </w:tc>
        <w:tc>
          <w:tcPr>
            <w:tcW w:type="dxa" w:w="5112"/>
          </w:tcPr>
          <w:p>
            <w:r>
              <w:t>Meets basic requirements</w:t>
            </w:r>
          </w:p>
        </w:tc>
      </w:tr>
      <w:tr>
        <w:tc>
          <w:tcPr>
            <w:tcW w:type="dxa" w:w="5112"/>
          </w:tcPr>
          <w:p>
            <w:r>
              <w:t>Certified</w:t>
            </w:r>
          </w:p>
        </w:tc>
        <w:tc>
          <w:tcPr>
            <w:tcW w:type="dxa" w:w="5112"/>
          </w:tcPr>
          <w:p>
            <w:r>
              <w:t>Passed required training/assessment</w:t>
            </w:r>
          </w:p>
        </w:tc>
      </w:tr>
      <w:tr>
        <w:tc>
          <w:tcPr>
            <w:tcW w:type="dxa" w:w="5112"/>
          </w:tcPr>
          <w:p>
            <w:r>
              <w:t>Experienced</w:t>
            </w:r>
          </w:p>
        </w:tc>
        <w:tc>
          <w:tcPr>
            <w:tcW w:type="dxa" w:w="5112"/>
          </w:tcPr>
          <w:p>
            <w:r>
              <w:t>Completed sufficient successful missions</w:t>
            </w:r>
          </w:p>
        </w:tc>
      </w:tr>
      <w:tr>
        <w:tc>
          <w:tcPr>
            <w:tcW w:type="dxa" w:w="5112"/>
          </w:tcPr>
          <w:p>
            <w:r>
              <w:t>Restricted</w:t>
            </w:r>
          </w:p>
        </w:tc>
        <w:tc>
          <w:tcPr>
            <w:tcW w:type="dxa" w:w="5112"/>
          </w:tcPr>
          <w:p>
            <w:r>
              <w:t>Temporarily limited</w:t>
            </w:r>
          </w:p>
        </w:tc>
      </w:tr>
      <w:tr>
        <w:tc>
          <w:tcPr>
            <w:tcW w:type="dxa" w:w="5112"/>
          </w:tcPr>
          <w:p>
            <w:r>
              <w:t>Expired</w:t>
            </w:r>
          </w:p>
        </w:tc>
        <w:tc>
          <w:tcPr>
            <w:tcW w:type="dxa" w:w="5112"/>
          </w:tcPr>
          <w:p>
            <w:r>
              <w:t>Certification/training requires renewal</w:t>
            </w:r>
          </w:p>
        </w:tc>
      </w:tr>
    </w:tbl>
    <w:p>
      <w:pPr>
        <w:pStyle w:val="Heading1"/>
      </w:pPr>
      <w:r>
        <w:t>13. Experience Levels</w:t>
      </w:r>
    </w:p>
    <w:p>
      <w:r>
        <w:t>Experience should be measured by verified successful work, not self-declared experience.</w:t>
      </w:r>
    </w:p>
    <w:tbl>
      <w:tblPr>
        <w:tblStyle w:val="TableGrid"/>
        <w:tblW w:type="auto" w:w="0"/>
        <w:jc w:val="center"/>
        <w:tblLook w:firstColumn="1" w:firstRow="1" w:lastColumn="0" w:lastRow="0" w:noHBand="0" w:noVBand="1" w:val="04A0"/>
      </w:tblPr>
      <w:tblGrid>
        <w:gridCol w:w="5112"/>
        <w:gridCol w:w="5112"/>
      </w:tblGrid>
      <w:tr>
        <w:tc>
          <w:tcPr>
            <w:tcW w:type="dxa" w:w="5112"/>
          </w:tcPr>
          <w:p>
            <w:r>
              <w:t>Level</w:t>
            </w:r>
          </w:p>
        </w:tc>
        <w:tc>
          <w:tcPr>
            <w:tcW w:type="dxa" w:w="5112"/>
          </w:tcPr>
          <w:p>
            <w:r>
              <w:t>Illustrative meaning</w:t>
            </w:r>
          </w:p>
        </w:tc>
      </w:tr>
      <w:tr>
        <w:tc>
          <w:tcPr>
            <w:tcW w:type="dxa" w:w="5112"/>
          </w:tcPr>
          <w:p>
            <w:r>
              <w:t>New</w:t>
            </w:r>
          </w:p>
        </w:tc>
        <w:tc>
          <w:tcPr>
            <w:tcW w:type="dxa" w:w="5112"/>
          </w:tcPr>
          <w:p>
            <w:r>
              <w:t>Verified but little/no FieldForce history</w:t>
            </w:r>
          </w:p>
        </w:tc>
      </w:tr>
      <w:tr>
        <w:tc>
          <w:tcPr>
            <w:tcW w:type="dxa" w:w="5112"/>
          </w:tcPr>
          <w:p>
            <w:r>
              <w:t>Developing</w:t>
            </w:r>
          </w:p>
        </w:tc>
        <w:tc>
          <w:tcPr>
            <w:tcW w:type="dxa" w:w="5112"/>
          </w:tcPr>
          <w:p>
            <w:r>
              <w:t>Successful standard missions</w:t>
            </w:r>
          </w:p>
        </w:tc>
      </w:tr>
      <w:tr>
        <w:tc>
          <w:tcPr>
            <w:tcW w:type="dxa" w:w="5112"/>
          </w:tcPr>
          <w:p>
            <w:r>
              <w:t>Experienced</w:t>
            </w:r>
          </w:p>
        </w:tc>
        <w:tc>
          <w:tcPr>
            <w:tcW w:type="dxa" w:w="5112"/>
          </w:tcPr>
          <w:p>
            <w:r>
              <w:t>Consistent QC-approved performance</w:t>
            </w:r>
          </w:p>
        </w:tc>
      </w:tr>
      <w:tr>
        <w:tc>
          <w:tcPr>
            <w:tcW w:type="dxa" w:w="5112"/>
          </w:tcPr>
          <w:p>
            <w:r>
              <w:t>Senior</w:t>
            </w:r>
          </w:p>
        </w:tc>
        <w:tc>
          <w:tcPr>
            <w:tcW w:type="dxa" w:w="5112"/>
          </w:tcPr>
          <w:p>
            <w:r>
              <w:t>Strong multi-mission track record</w:t>
            </w:r>
          </w:p>
        </w:tc>
      </w:tr>
      <w:tr>
        <w:tc>
          <w:tcPr>
            <w:tcW w:type="dxa" w:w="5112"/>
          </w:tcPr>
          <w:p>
            <w:r>
              <w:t>Specialist</w:t>
            </w:r>
          </w:p>
        </w:tc>
        <w:tc>
          <w:tcPr>
            <w:tcW w:type="dxa" w:w="5112"/>
          </w:tcPr>
          <w:p>
            <w:r>
              <w:t>Deep experience in defined service category</w:t>
            </w:r>
          </w:p>
        </w:tc>
      </w:tr>
    </w:tbl>
    <w:p>
      <w:r>
        <w:t>Exact thresholds should be configured per capability rather than using one universal mission count.</w:t>
      </w:r>
    </w:p>
    <w:p>
      <w:pPr>
        <w:pStyle w:val="Heading1"/>
      </w:pPr>
      <w:r>
        <w:t>14. Agent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Tier</w:t>
            </w:r>
          </w:p>
        </w:tc>
        <w:tc>
          <w:tcPr>
            <w:tcW w:type="dxa" w:w="3408"/>
          </w:tcPr>
          <w:p>
            <w:r>
              <w:t>Purpose</w:t>
            </w:r>
          </w:p>
        </w:tc>
        <w:tc>
          <w:tcPr>
            <w:tcW w:type="dxa" w:w="3408"/>
          </w:tcPr>
          <w:p>
            <w:r>
              <w:t>Typical access</w:t>
            </w:r>
          </w:p>
        </w:tc>
      </w:tr>
      <w:tr>
        <w:tc>
          <w:tcPr>
            <w:tcW w:type="dxa" w:w="3408"/>
          </w:tcPr>
          <w:p>
            <w:r>
              <w:t>Starter</w:t>
            </w:r>
          </w:p>
        </w:tc>
        <w:tc>
          <w:tcPr>
            <w:tcW w:type="dxa" w:w="3408"/>
          </w:tcPr>
          <w:p>
            <w:r>
              <w:t>New verified operator</w:t>
            </w:r>
          </w:p>
        </w:tc>
        <w:tc>
          <w:tcPr>
            <w:tcW w:type="dxa" w:w="3408"/>
          </w:tcPr>
          <w:p>
            <w:r>
              <w:t>Low-risk standard missions</w:t>
            </w:r>
          </w:p>
        </w:tc>
      </w:tr>
      <w:tr>
        <w:tc>
          <w:tcPr>
            <w:tcW w:type="dxa" w:w="3408"/>
          </w:tcPr>
          <w:p>
            <w:r>
              <w:t>Verified</w:t>
            </w:r>
          </w:p>
        </w:tc>
        <w:tc>
          <w:tcPr>
            <w:tcW w:type="dxa" w:w="3408"/>
          </w:tcPr>
          <w:p>
            <w:r>
              <w:t>Reliable standard operator</w:t>
            </w:r>
          </w:p>
        </w:tc>
        <w:tc>
          <w:tcPr>
            <w:tcW w:type="dxa" w:w="3408"/>
          </w:tcPr>
          <w:p>
            <w:r>
              <w:t>Broad standard missions</w:t>
            </w:r>
          </w:p>
        </w:tc>
      </w:tr>
      <w:tr>
        <w:tc>
          <w:tcPr>
            <w:tcW w:type="dxa" w:w="3408"/>
          </w:tcPr>
          <w:p>
            <w:r>
              <w:t>Pro</w:t>
            </w:r>
          </w:p>
        </w:tc>
        <w:tc>
          <w:tcPr>
            <w:tcW w:type="dxa" w:w="3408"/>
          </w:tcPr>
          <w:p>
            <w:r>
              <w:t>Strong performance and experience</w:t>
            </w:r>
          </w:p>
        </w:tc>
        <w:tc>
          <w:tcPr>
            <w:tcW w:type="dxa" w:w="3408"/>
          </w:tcPr>
          <w:p>
            <w:r>
              <w:t>Higher-value/specialist missions</w:t>
            </w:r>
          </w:p>
        </w:tc>
      </w:tr>
      <w:tr>
        <w:tc>
          <w:tcPr>
            <w:tcW w:type="dxa" w:w="3408"/>
          </w:tcPr>
          <w:p>
            <w:r>
              <w:t>Elite</w:t>
            </w:r>
          </w:p>
        </w:tc>
        <w:tc>
          <w:tcPr>
            <w:tcW w:type="dxa" w:w="3408"/>
          </w:tcPr>
          <w:p>
            <w:r>
              <w:t>Highly trusted operator</w:t>
            </w:r>
          </w:p>
        </w:tc>
        <w:tc>
          <w:tcPr>
            <w:tcW w:type="dxa" w:w="3408"/>
          </w:tcPr>
          <w:p>
            <w:r>
              <w:t>Priority, sensitive, complex missions</w:t>
            </w:r>
          </w:p>
        </w:tc>
      </w:tr>
    </w:tbl>
    <w:p>
      <w:r>
        <w:t>Tier progression should depend on quality, reliability, safety, and experience—not only mission volume.</w:t>
      </w:r>
    </w:p>
    <w:p>
      <w:pPr>
        <w:pStyle w:val="Heading1"/>
      </w:pPr>
      <w:r>
        <w:t>15. Ready Agent Pool</w:t>
      </w:r>
    </w:p>
    <w:p>
      <w:r>
        <w:t>The Ready Agent Pool is a core FieldForce operational asset.</w:t>
      </w:r>
    </w:p>
    <w:p>
      <w:r>
        <w:t>Operations must be able to answer: Who can execute this mission now?</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Purpose</w:t>
            </w:r>
          </w:p>
        </w:tc>
      </w:tr>
      <w:tr>
        <w:tc>
          <w:tcPr>
            <w:tcW w:type="dxa" w:w="5112"/>
          </w:tcPr>
          <w:p>
            <w:r>
              <w:t>Operator</w:t>
            </w:r>
          </w:p>
        </w:tc>
        <w:tc>
          <w:tcPr>
            <w:tcW w:type="dxa" w:w="5112"/>
          </w:tcPr>
          <w:p>
            <w:r>
              <w:t>Identity</w:t>
            </w:r>
          </w:p>
        </w:tc>
      </w:tr>
      <w:tr>
        <w:tc>
          <w:tcPr>
            <w:tcW w:type="dxa" w:w="5112"/>
          </w:tcPr>
          <w:p>
            <w:r>
              <w:t>Location</w:t>
            </w:r>
          </w:p>
        </w:tc>
        <w:tc>
          <w:tcPr>
            <w:tcW w:type="dxa" w:w="5112"/>
          </w:tcPr>
          <w:p>
            <w:r>
              <w:t>Current operating area</w:t>
            </w:r>
          </w:p>
        </w:tc>
      </w:tr>
      <w:tr>
        <w:tc>
          <w:tcPr>
            <w:tcW w:type="dxa" w:w="5112"/>
          </w:tcPr>
          <w:p>
            <w:r>
              <w:t>Capability</w:t>
            </w:r>
          </w:p>
        </w:tc>
        <w:tc>
          <w:tcPr>
            <w:tcW w:type="dxa" w:w="5112"/>
          </w:tcPr>
          <w:p>
            <w:r>
              <w:t>Eligible service types</w:t>
            </w:r>
          </w:p>
        </w:tc>
      </w:tr>
      <w:tr>
        <w:tc>
          <w:tcPr>
            <w:tcW w:type="dxa" w:w="5112"/>
          </w:tcPr>
          <w:p>
            <w:r>
              <w:t>Certification</w:t>
            </w:r>
          </w:p>
        </w:tc>
        <w:tc>
          <w:tcPr>
            <w:tcW w:type="dxa" w:w="5112"/>
          </w:tcPr>
          <w:p>
            <w:r>
              <w:t>Required qualifications</w:t>
            </w:r>
          </w:p>
        </w:tc>
      </w:tr>
      <w:tr>
        <w:tc>
          <w:tcPr>
            <w:tcW w:type="dxa" w:w="5112"/>
          </w:tcPr>
          <w:p>
            <w:r>
              <w:t>Tier</w:t>
            </w:r>
          </w:p>
        </w:tc>
        <w:tc>
          <w:tcPr>
            <w:tcW w:type="dxa" w:w="5112"/>
          </w:tcPr>
          <w:p>
            <w:r>
              <w:t>Trust/access level</w:t>
            </w:r>
          </w:p>
        </w:tc>
      </w:tr>
      <w:tr>
        <w:tc>
          <w:tcPr>
            <w:tcW w:type="dxa" w:w="5112"/>
          </w:tcPr>
          <w:p>
            <w:r>
              <w:t>Availability</w:t>
            </w:r>
          </w:p>
        </w:tc>
        <w:tc>
          <w:tcPr>
            <w:tcW w:type="dxa" w:w="5112"/>
          </w:tcPr>
          <w:p>
            <w:r>
              <w:t>Ready now/today/standby</w:t>
            </w:r>
          </w:p>
        </w:tc>
      </w:tr>
      <w:tr>
        <w:tc>
          <w:tcPr>
            <w:tcW w:type="dxa" w:w="5112"/>
          </w:tcPr>
          <w:p>
            <w:r>
              <w:t>Workload</w:t>
            </w:r>
          </w:p>
        </w:tc>
        <w:tc>
          <w:tcPr>
            <w:tcW w:type="dxa" w:w="5112"/>
          </w:tcPr>
          <w:p>
            <w:r>
              <w:t>Current missions</w:t>
            </w:r>
          </w:p>
        </w:tc>
      </w:tr>
      <w:tr>
        <w:tc>
          <w:tcPr>
            <w:tcW w:type="dxa" w:w="5112"/>
          </w:tcPr>
          <w:p>
            <w:r>
              <w:t>Distance</w:t>
            </w:r>
          </w:p>
        </w:tc>
        <w:tc>
          <w:tcPr>
            <w:tcW w:type="dxa" w:w="5112"/>
          </w:tcPr>
          <w:p>
            <w:r>
              <w:t>Proximity to mission</w:t>
            </w:r>
          </w:p>
        </w:tc>
      </w:tr>
      <w:tr>
        <w:tc>
          <w:tcPr>
            <w:tcW w:type="dxa" w:w="5112"/>
          </w:tcPr>
          <w:p>
            <w:r>
              <w:t>Reliability</w:t>
            </w:r>
          </w:p>
        </w:tc>
        <w:tc>
          <w:tcPr>
            <w:tcW w:type="dxa" w:w="5112"/>
          </w:tcPr>
          <w:p>
            <w:r>
              <w:t>Performance indicator</w:t>
            </w:r>
          </w:p>
        </w:tc>
      </w:tr>
      <w:tr>
        <w:tc>
          <w:tcPr>
            <w:tcW w:type="dxa" w:w="5112"/>
          </w:tcPr>
          <w:p>
            <w:r>
              <w:t>QC</w:t>
            </w:r>
          </w:p>
        </w:tc>
        <w:tc>
          <w:tcPr>
            <w:tcW w:type="dxa" w:w="5112"/>
          </w:tcPr>
          <w:p>
            <w:r>
              <w:t>Recent evidence quality</w:t>
            </w:r>
          </w:p>
        </w:tc>
      </w:tr>
      <w:tr>
        <w:tc>
          <w:tcPr>
            <w:tcW w:type="dxa" w:w="5112"/>
          </w:tcPr>
          <w:p>
            <w:r>
              <w:t>Response</w:t>
            </w:r>
          </w:p>
        </w:tc>
        <w:tc>
          <w:tcPr>
            <w:tcW w:type="dxa" w:w="5112"/>
          </w:tcPr>
          <w:p>
            <w:r>
              <w:t>Offer acceptance responsiveness</w:t>
            </w:r>
          </w:p>
        </w:tc>
      </w:tr>
    </w:tbl>
    <w:p>
      <w:pPr>
        <w:pStyle w:val="Heading1"/>
      </w:pPr>
      <w:r>
        <w:t>16. Availability Model</w:t>
      </w:r>
    </w:p>
    <w:p>
      <w:pPr>
        <w:pStyle w:val="ListBullet"/>
      </w:pPr>
      <w:r>
        <w:t>Ready Now</w:t>
      </w:r>
    </w:p>
    <w:p>
      <w:pPr>
        <w:pStyle w:val="ListBullet"/>
      </w:pPr>
      <w:r>
        <w:t>Ready Today</w:t>
      </w:r>
    </w:p>
    <w:p>
      <w:pPr>
        <w:pStyle w:val="ListBullet"/>
      </w:pPr>
      <w:r>
        <w:t>Standby</w:t>
      </w:r>
    </w:p>
    <w:p>
      <w:pPr>
        <w:pStyle w:val="ListBullet"/>
      </w:pPr>
      <w:r>
        <w:t>Busy</w:t>
      </w:r>
    </w:p>
    <w:p>
      <w:pPr>
        <w:pStyle w:val="ListBullet"/>
      </w:pPr>
      <w:r>
        <w:t>Unavailable</w:t>
      </w:r>
    </w:p>
    <w:p>
      <w:pPr>
        <w:pStyle w:val="ListBullet"/>
      </w:pPr>
      <w:r>
        <w:t>Vacation</w:t>
      </w:r>
    </w:p>
    <w:p>
      <w:pPr>
        <w:pStyle w:val="ListBullet"/>
      </w:pPr>
      <w:r>
        <w:t>Restricted</w:t>
      </w:r>
    </w:p>
    <w:p>
      <w:pPr>
        <w:pStyle w:val="ListBullet"/>
      </w:pPr>
      <w:r>
        <w:t>Suspended</w:t>
      </w:r>
    </w:p>
    <w:p>
      <w:r>
        <w:t>Agents should be able to set working hours, preferred locations, preferred service types, travel willingness, and availability exceptions.</w:t>
      </w:r>
    </w:p>
    <w:p>
      <w:pPr>
        <w:pStyle w:val="Heading1"/>
      </w:pPr>
      <w:r>
        <w:t>17. Assignment Eligibility</w:t>
      </w:r>
    </w:p>
    <w:p>
      <w:r>
        <w:t>Before a mission is offered, the system should deterministically check:</w:t>
      </w:r>
    </w:p>
    <w:p>
      <w:pPr>
        <w:pStyle w:val="ListBullet"/>
      </w:pPr>
      <w:r>
        <w:t>Active status</w:t>
      </w:r>
    </w:p>
    <w:p>
      <w:pPr>
        <w:pStyle w:val="ListBullet"/>
      </w:pPr>
      <w:r>
        <w:t>Required verification level</w:t>
      </w:r>
    </w:p>
    <w:p>
      <w:pPr>
        <w:pStyle w:val="ListBullet"/>
      </w:pPr>
      <w:r>
        <w:t>Geographic eligibility</w:t>
      </w:r>
    </w:p>
    <w:p>
      <w:pPr>
        <w:pStyle w:val="ListBullet"/>
      </w:pPr>
      <w:r>
        <w:t>Capability</w:t>
      </w:r>
    </w:p>
    <w:p>
      <w:pPr>
        <w:pStyle w:val="ListBullet"/>
      </w:pPr>
      <w:r>
        <w:t>Certification</w:t>
      </w:r>
    </w:p>
    <w:p>
      <w:pPr>
        <w:pStyle w:val="ListBullet"/>
      </w:pPr>
      <w:r>
        <w:t>Availability</w:t>
      </w:r>
    </w:p>
    <w:p>
      <w:pPr>
        <w:pStyle w:val="ListBullet"/>
      </w:pPr>
      <w:r>
        <w:t>Workload limits</w:t>
      </w:r>
    </w:p>
    <w:p>
      <w:pPr>
        <w:pStyle w:val="ListBullet"/>
      </w:pPr>
      <w:r>
        <w:t>Client restrictions</w:t>
      </w:r>
    </w:p>
    <w:p>
      <w:pPr>
        <w:pStyle w:val="ListBullet"/>
      </w:pPr>
      <w:r>
        <w:t>Mission risk requirements</w:t>
      </w:r>
    </w:p>
    <w:p>
      <w:pPr>
        <w:pStyle w:val="ListBullet"/>
      </w:pPr>
      <w:r>
        <w:t>Required device/evidence capability where applicable</w:t>
      </w:r>
    </w:p>
    <w:p>
      <w:pPr>
        <w:pStyle w:val="Heading1"/>
      </w:pPr>
      <w:r>
        <w:t>18. Matching &amp; Ranking</w:t>
      </w:r>
    </w:p>
    <w:p>
      <w:r>
        <w:t>After eligibility, rank candidates using:</w:t>
      </w:r>
    </w:p>
    <w:p>
      <w:pPr>
        <w:pStyle w:val="ListBullet"/>
      </w:pPr>
      <w:r>
        <w:t>Distance/proximity</w:t>
      </w:r>
    </w:p>
    <w:p>
      <w:pPr>
        <w:pStyle w:val="ListBullet"/>
      </w:pPr>
      <w:r>
        <w:t>Reliability</w:t>
      </w:r>
    </w:p>
    <w:p>
      <w:pPr>
        <w:pStyle w:val="ListBullet"/>
      </w:pPr>
      <w:r>
        <w:t>Service experience</w:t>
      </w:r>
    </w:p>
    <w:p>
      <w:pPr>
        <w:pStyle w:val="ListBullet"/>
      </w:pPr>
      <w:r>
        <w:t>QC history</w:t>
      </w:r>
    </w:p>
    <w:p>
      <w:pPr>
        <w:pStyle w:val="ListBullet"/>
      </w:pPr>
      <w:r>
        <w:t>Response time</w:t>
      </w:r>
    </w:p>
    <w:p>
      <w:pPr>
        <w:pStyle w:val="ListBullet"/>
      </w:pPr>
      <w:r>
        <w:t>Current workload</w:t>
      </w:r>
    </w:p>
    <w:p>
      <w:pPr>
        <w:pStyle w:val="ListBullet"/>
      </w:pPr>
      <w:r>
        <w:t>Availability window</w:t>
      </w:r>
    </w:p>
    <w:p>
      <w:pPr>
        <w:pStyle w:val="ListBullet"/>
      </w:pPr>
      <w:r>
        <w:t>Tier</w:t>
      </w:r>
    </w:p>
    <w:p>
      <w:pPr>
        <w:pStyle w:val="ListBullet"/>
      </w:pPr>
      <w:r>
        <w:t>Agent preferences</w:t>
      </w:r>
    </w:p>
    <w:p>
      <w:r>
        <w:t>AI can assist with ranking recommendations but cannot bypass deterministic eligibility.</w:t>
      </w:r>
    </w:p>
    <w:p>
      <w:pPr>
        <w:pStyle w:val="Heading1"/>
      </w:pPr>
      <w:r>
        <w:t>19. Agent Mission Experience</w:t>
      </w:r>
    </w:p>
    <w:p>
      <w:r>
        <w:t>Every mission should provide clear instructions, scope, checklist, evidence requirements, SLA, payout terms, location requirements, safety instructions, and escalation options.</w:t>
      </w:r>
    </w:p>
    <w:p>
      <w:r>
        <w:t>The agent should never have to infer critical requirements.</w:t>
      </w:r>
    </w:p>
    <w:p>
      <w:pPr>
        <w:pStyle w:val="Heading1"/>
      </w:pPr>
      <w:r>
        <w:t>20. Performance Framework</w:t>
      </w:r>
    </w:p>
    <w:p>
      <w:r>
        <w:t>Performance should combine objective operational metrics with structured feedback.</w:t>
      </w:r>
    </w:p>
    <w:tbl>
      <w:tblPr>
        <w:tblStyle w:val="TableGrid"/>
        <w:tblW w:type="auto" w:w="0"/>
        <w:jc w:val="center"/>
        <w:tblLook w:firstColumn="1" w:firstRow="1" w:lastColumn="0" w:lastRow="0" w:noHBand="0" w:noVBand="1" w:val="04A0"/>
      </w:tblPr>
      <w:tblGrid>
        <w:gridCol w:w="5112"/>
        <w:gridCol w:w="5112"/>
      </w:tblGrid>
      <w:tr>
        <w:tc>
          <w:tcPr>
            <w:tcW w:type="dxa" w:w="5112"/>
          </w:tcPr>
          <w:p>
            <w:r>
              <w:t>Dimension</w:t>
            </w:r>
          </w:p>
        </w:tc>
        <w:tc>
          <w:tcPr>
            <w:tcW w:type="dxa" w:w="5112"/>
          </w:tcPr>
          <w:p>
            <w:r>
              <w:t>Examples</w:t>
            </w:r>
          </w:p>
        </w:tc>
      </w:tr>
      <w:tr>
        <w:tc>
          <w:tcPr>
            <w:tcW w:type="dxa" w:w="5112"/>
          </w:tcPr>
          <w:p>
            <w:r>
              <w:t>Reliability</w:t>
            </w:r>
          </w:p>
        </w:tc>
        <w:tc>
          <w:tcPr>
            <w:tcW w:type="dxa" w:w="5112"/>
          </w:tcPr>
          <w:p>
            <w:r>
              <w:t>Completion, no-show, cancellation</w:t>
            </w:r>
          </w:p>
        </w:tc>
      </w:tr>
      <w:tr>
        <w:tc>
          <w:tcPr>
            <w:tcW w:type="dxa" w:w="5112"/>
          </w:tcPr>
          <w:p>
            <w:r>
              <w:t>Timeliness</w:t>
            </w:r>
          </w:p>
        </w:tc>
        <w:tc>
          <w:tcPr>
            <w:tcW w:type="dxa" w:w="5112"/>
          </w:tcPr>
          <w:p>
            <w:r>
              <w:t>On-time check-in/submission</w:t>
            </w:r>
          </w:p>
        </w:tc>
      </w:tr>
      <w:tr>
        <w:tc>
          <w:tcPr>
            <w:tcW w:type="dxa" w:w="5112"/>
          </w:tcPr>
          <w:p>
            <w:r>
              <w:t>Evidence</w:t>
            </w:r>
          </w:p>
        </w:tc>
        <w:tc>
          <w:tcPr>
            <w:tcW w:type="dxa" w:w="5112"/>
          </w:tcPr>
          <w:p>
            <w:r>
              <w:t>Completeness, quality, provenance</w:t>
            </w:r>
          </w:p>
        </w:tc>
      </w:tr>
      <w:tr>
        <w:tc>
          <w:tcPr>
            <w:tcW w:type="dxa" w:w="5112"/>
          </w:tcPr>
          <w:p>
            <w:r>
              <w:t>Scope</w:t>
            </w:r>
          </w:p>
        </w:tc>
        <w:tc>
          <w:tcPr>
            <w:tcW w:type="dxa" w:w="5112"/>
          </w:tcPr>
          <w:p>
            <w:r>
              <w:t>Checklist compliance</w:t>
            </w:r>
          </w:p>
        </w:tc>
      </w:tr>
      <w:tr>
        <w:tc>
          <w:tcPr>
            <w:tcW w:type="dxa" w:w="5112"/>
          </w:tcPr>
          <w:p>
            <w:r>
              <w:t>Safety</w:t>
            </w:r>
          </w:p>
        </w:tc>
        <w:tc>
          <w:tcPr>
            <w:tcW w:type="dxa" w:w="5112"/>
          </w:tcPr>
          <w:p>
            <w:r>
              <w:t>Policy adherence</w:t>
            </w:r>
          </w:p>
        </w:tc>
      </w:tr>
      <w:tr>
        <w:tc>
          <w:tcPr>
            <w:tcW w:type="dxa" w:w="5112"/>
          </w:tcPr>
          <w:p>
            <w:r>
              <w:t>Communication</w:t>
            </w:r>
          </w:p>
        </w:tc>
        <w:tc>
          <w:tcPr>
            <w:tcW w:type="dxa" w:w="5112"/>
          </w:tcPr>
          <w:p>
            <w:r>
              <w:t>Response/support interaction</w:t>
            </w:r>
          </w:p>
        </w:tc>
      </w:tr>
      <w:tr>
        <w:tc>
          <w:tcPr>
            <w:tcW w:type="dxa" w:w="5112"/>
          </w:tcPr>
          <w:p>
            <w:r>
              <w:t>Integrity</w:t>
            </w:r>
          </w:p>
        </w:tc>
        <w:tc>
          <w:tcPr>
            <w:tcW w:type="dxa" w:w="5112"/>
          </w:tcPr>
          <w:p>
            <w:r>
              <w:t>Anomaly history and reviewed incidents</w:t>
            </w:r>
          </w:p>
        </w:tc>
      </w:tr>
      <w:tr>
        <w:tc>
          <w:tcPr>
            <w:tcW w:type="dxa" w:w="5112"/>
          </w:tcPr>
          <w:p>
            <w:r>
              <w:t>Client service</w:t>
            </w:r>
          </w:p>
        </w:tc>
        <w:tc>
          <w:tcPr>
            <w:tcW w:type="dxa" w:w="5112"/>
          </w:tcPr>
          <w:p>
            <w:r>
              <w:t>Contractual feedback where appropriate</w:t>
            </w:r>
          </w:p>
        </w:tc>
      </w:tr>
    </w:tbl>
    <w:p>
      <w:pPr>
        <w:pStyle w:val="Heading1"/>
      </w:pPr>
      <w:r>
        <w:t>21. Reputation Score</w:t>
      </w:r>
    </w:p>
    <w:p>
      <w:r>
        <w:t>Use an explainable score with minimum sample sizes, appropriate weighting, and time decay where justified.</w:t>
      </w:r>
    </w:p>
    <w:p>
      <w:r>
        <w:t>The score should support matching and development, not function as an opaque punishment mechanism.</w:t>
      </w:r>
    </w:p>
    <w:p>
      <w:r>
        <w:t>Serious negative events should be reviewed separately rather than allowing one incident to automatically destroy an otherwise strong record.</w:t>
      </w:r>
    </w:p>
    <w:p>
      <w:pPr>
        <w:pStyle w:val="Heading1"/>
      </w:pPr>
      <w:r>
        <w:t>22. Performance Bands</w:t>
      </w:r>
    </w:p>
    <w:tbl>
      <w:tblPr>
        <w:tblStyle w:val="TableGrid"/>
        <w:tblW w:type="auto" w:w="0"/>
        <w:jc w:val="center"/>
        <w:tblLook w:firstColumn="1" w:firstRow="1" w:lastColumn="0" w:lastRow="0" w:noHBand="0" w:noVBand="1" w:val="04A0"/>
      </w:tblPr>
      <w:tblGrid>
        <w:gridCol w:w="5112"/>
        <w:gridCol w:w="5112"/>
      </w:tblGrid>
      <w:tr>
        <w:tc>
          <w:tcPr>
            <w:tcW w:type="dxa" w:w="5112"/>
          </w:tcPr>
          <w:p>
            <w:r>
              <w:t>Band</w:t>
            </w:r>
          </w:p>
        </w:tc>
        <w:tc>
          <w:tcPr>
            <w:tcW w:type="dxa" w:w="5112"/>
          </w:tcPr>
          <w:p>
            <w:r>
              <w:t>Action</w:t>
            </w:r>
          </w:p>
        </w:tc>
      </w:tr>
      <w:tr>
        <w:tc>
          <w:tcPr>
            <w:tcW w:type="dxa" w:w="5112"/>
          </w:tcPr>
          <w:p>
            <w:r>
              <w:t>Exceptional</w:t>
            </w:r>
          </w:p>
        </w:tc>
        <w:tc>
          <w:tcPr>
            <w:tcW w:type="dxa" w:w="5112"/>
          </w:tcPr>
          <w:p>
            <w:r>
              <w:t>Priority work, recognition, progression</w:t>
            </w:r>
          </w:p>
        </w:tc>
      </w:tr>
      <w:tr>
        <w:tc>
          <w:tcPr>
            <w:tcW w:type="dxa" w:w="5112"/>
          </w:tcPr>
          <w:p>
            <w:r>
              <w:t>Strong</w:t>
            </w:r>
          </w:p>
        </w:tc>
        <w:tc>
          <w:tcPr>
            <w:tcW w:type="dxa" w:w="5112"/>
          </w:tcPr>
          <w:p>
            <w:r>
              <w:t>Normal/priority access</w:t>
            </w:r>
          </w:p>
        </w:tc>
      </w:tr>
      <w:tr>
        <w:tc>
          <w:tcPr>
            <w:tcW w:type="dxa" w:w="5112"/>
          </w:tcPr>
          <w:p>
            <w:r>
              <w:t>Stable</w:t>
            </w:r>
          </w:p>
        </w:tc>
        <w:tc>
          <w:tcPr>
            <w:tcW w:type="dxa" w:w="5112"/>
          </w:tcPr>
          <w:p>
            <w:r>
              <w:t>Continue and develop</w:t>
            </w:r>
          </w:p>
        </w:tc>
      </w:tr>
      <w:tr>
        <w:tc>
          <w:tcPr>
            <w:tcW w:type="dxa" w:w="5112"/>
          </w:tcPr>
          <w:p>
            <w:r>
              <w:t>Watch</w:t>
            </w:r>
          </w:p>
        </w:tc>
        <w:tc>
          <w:tcPr>
            <w:tcW w:type="dxa" w:w="5112"/>
          </w:tcPr>
          <w:p>
            <w:r>
              <w:t>Coaching/training and closer monitoring</w:t>
            </w:r>
          </w:p>
        </w:tc>
      </w:tr>
      <w:tr>
        <w:tc>
          <w:tcPr>
            <w:tcW w:type="dxa" w:w="5112"/>
          </w:tcPr>
          <w:p>
            <w:r>
              <w:t>Restricted</w:t>
            </w:r>
          </w:p>
        </w:tc>
        <w:tc>
          <w:tcPr>
            <w:tcW w:type="dxa" w:w="5112"/>
          </w:tcPr>
          <w:p>
            <w:r>
              <w:t>Temporary eligibility reduction pending review</w:t>
            </w:r>
          </w:p>
        </w:tc>
      </w:tr>
      <w:tr>
        <w:tc>
          <w:tcPr>
            <w:tcW w:type="dxa" w:w="5112"/>
          </w:tcPr>
          <w:p>
            <w:r>
              <w:t>Suspended</w:t>
            </w:r>
          </w:p>
        </w:tc>
        <w:tc>
          <w:tcPr>
            <w:tcW w:type="dxa" w:w="5112"/>
          </w:tcPr>
          <w:p>
            <w:r>
              <w:t>No missions until resolution</w:t>
            </w:r>
          </w:p>
        </w:tc>
      </w:tr>
    </w:tbl>
    <w:p>
      <w:pPr>
        <w:pStyle w:val="Heading1"/>
      </w:pPr>
      <w:r>
        <w:t>23. Coaching &amp; Improvement</w:t>
      </w:r>
    </w:p>
    <w:p>
      <w:r>
        <w:t>FieldForce should treat performance problems as opportunities for controlled improvement where safety/integrity does not require immediate restriction.</w:t>
      </w:r>
    </w:p>
    <w:p>
      <w:pPr>
        <w:pStyle w:val="ListBullet"/>
      </w:pPr>
      <w:r>
        <w:t>Identify issue</w:t>
      </w:r>
    </w:p>
    <w:p>
      <w:pPr>
        <w:pStyle w:val="ListBullet"/>
      </w:pPr>
      <w:r>
        <w:t>Notify agent</w:t>
      </w:r>
    </w:p>
    <w:p>
      <w:pPr>
        <w:pStyle w:val="ListBullet"/>
      </w:pPr>
      <w:r>
        <w:t>Provide evidence/reason</w:t>
      </w:r>
    </w:p>
    <w:p>
      <w:pPr>
        <w:pStyle w:val="ListBullet"/>
      </w:pPr>
      <w:r>
        <w:t>Assign training/coaching</w:t>
      </w:r>
    </w:p>
    <w:p>
      <w:pPr>
        <w:pStyle w:val="ListBullet"/>
      </w:pPr>
      <w:r>
        <w:t>Set improvement period</w:t>
      </w:r>
    </w:p>
    <w:p>
      <w:pPr>
        <w:pStyle w:val="ListBullet"/>
      </w:pPr>
      <w:r>
        <w:t>Review outcome</w:t>
      </w:r>
    </w:p>
    <w:p>
      <w:pPr>
        <w:pStyle w:val="ListBullet"/>
      </w:pPr>
      <w:r>
        <w:t>Restore/adjust access</w:t>
      </w:r>
    </w:p>
    <w:p>
      <w:r>
        <w:t>Agents should know what they need to improve.</w:t>
      </w:r>
    </w:p>
    <w:p>
      <w:pPr>
        <w:pStyle w:val="Heading1"/>
      </w:pPr>
      <w:r>
        <w:t>24. Discipline &amp; Suspension</w:t>
      </w:r>
    </w:p>
    <w:p>
      <w:r>
        <w:t>Possible grounds include serious safety violations, deliberate evidence falsification, identity fraud, repeated unauthorized scope expansion, severe customer misconduct, or other material breaches of FieldForce policy.</w:t>
      </w:r>
    </w:p>
    <w:p>
      <w:r>
        <w:t>Actions should be proportionate, documented, reviewable, and subject to applicable law/contract.</w:t>
      </w:r>
    </w:p>
    <w:p>
      <w:pPr>
        <w:pStyle w:val="ListBullet"/>
      </w:pPr>
      <w:r>
        <w:t>Warning</w:t>
      </w:r>
    </w:p>
    <w:p>
      <w:pPr>
        <w:pStyle w:val="ListBullet"/>
      </w:pPr>
      <w:r>
        <w:t>Training requirement</w:t>
      </w:r>
    </w:p>
    <w:p>
      <w:pPr>
        <w:pStyle w:val="ListBullet"/>
      </w:pPr>
      <w:r>
        <w:t>Temporary restriction</w:t>
      </w:r>
    </w:p>
    <w:p>
      <w:pPr>
        <w:pStyle w:val="ListBullet"/>
      </w:pPr>
      <w:r>
        <w:t>Suspension</w:t>
      </w:r>
    </w:p>
    <w:p>
      <w:pPr>
        <w:pStyle w:val="ListBullet"/>
      </w:pPr>
      <w:r>
        <w:t>Termination of engagement</w:t>
      </w:r>
    </w:p>
    <w:p>
      <w:pPr>
        <w:pStyle w:val="Heading1"/>
      </w:pPr>
      <w:r>
        <w:t>25. Appeals</w:t>
      </w:r>
    </w:p>
    <w:p>
      <w:r>
        <w:t>Agents should have a defined appeal channel for material restrictions or suspension.</w:t>
      </w:r>
    </w:p>
    <w:p>
      <w:pPr>
        <w:pStyle w:val="ListBullet"/>
      </w:pPr>
      <w:r>
        <w:t>Decision reason</w:t>
      </w:r>
    </w:p>
    <w:p>
      <w:pPr>
        <w:pStyle w:val="ListBullet"/>
      </w:pPr>
      <w:r>
        <w:t>Evidence available to the agent where appropriate</w:t>
      </w:r>
    </w:p>
    <w:p>
      <w:pPr>
        <w:pStyle w:val="ListBullet"/>
      </w:pPr>
      <w:r>
        <w:t>Appeal submission</w:t>
      </w:r>
    </w:p>
    <w:p>
      <w:pPr>
        <w:pStyle w:val="ListBullet"/>
      </w:pPr>
      <w:r>
        <w:t>Independent/internal review</w:t>
      </w:r>
    </w:p>
    <w:p>
      <w:pPr>
        <w:pStyle w:val="ListBullet"/>
      </w:pPr>
      <w:r>
        <w:t>Final decision</w:t>
      </w:r>
    </w:p>
    <w:p>
      <w:pPr>
        <w:pStyle w:val="ListBullet"/>
      </w:pPr>
      <w:r>
        <w:t>Audit record</w:t>
      </w:r>
    </w:p>
    <w:p>
      <w:r>
        <w:t>Appeals must not expose confidential client information or investigative methods unnecessarily.</w:t>
      </w:r>
    </w:p>
    <w:p>
      <w:pPr>
        <w:pStyle w:val="Heading1"/>
      </w:pPr>
      <w:r>
        <w:t>26. Agent Safety Framework</w:t>
      </w:r>
    </w:p>
    <w:p>
      <w:pPr>
        <w:pStyle w:val="ListBullet"/>
      </w:pPr>
      <w:r>
        <w:t>Pre-mission safety briefing</w:t>
      </w:r>
    </w:p>
    <w:p>
      <w:pPr>
        <w:pStyle w:val="ListBullet"/>
      </w:pPr>
      <w:r>
        <w:t>Risk classification</w:t>
      </w:r>
    </w:p>
    <w:p>
      <w:pPr>
        <w:pStyle w:val="ListBullet"/>
      </w:pPr>
      <w:r>
        <w:t>Unsafe-location escalation</w:t>
      </w:r>
    </w:p>
    <w:p>
      <w:pPr>
        <w:pStyle w:val="ListBullet"/>
      </w:pPr>
      <w:r>
        <w:t>Mission pause</w:t>
      </w:r>
    </w:p>
    <w:p>
      <w:pPr>
        <w:pStyle w:val="ListBullet"/>
      </w:pPr>
      <w:r>
        <w:t>Operations contact</w:t>
      </w:r>
    </w:p>
    <w:p>
      <w:pPr>
        <w:pStyle w:val="ListBullet"/>
      </w:pPr>
      <w:r>
        <w:t>Incident reporting</w:t>
      </w:r>
    </w:p>
    <w:p>
      <w:pPr>
        <w:pStyle w:val="ListBullet"/>
      </w:pPr>
      <w:r>
        <w:t>Post-incident support</w:t>
      </w:r>
    </w:p>
    <w:p>
      <w:pPr>
        <w:pStyle w:val="ListBullet"/>
      </w:pPr>
      <w:r>
        <w:t>High-risk mission approval</w:t>
      </w:r>
    </w:p>
    <w:p>
      <w:r>
        <w:t>Safety incidents should trigger support and investigation, not automatic punitive scoring.</w:t>
      </w:r>
    </w:p>
    <w:p>
      <w:pPr>
        <w:pStyle w:val="Heading1"/>
      </w:pPr>
      <w:r>
        <w:t>27. Agent Support</w:t>
      </w:r>
    </w:p>
    <w:p>
      <w:r>
        <w:t>FieldForce should provide structured support through the active mission and beyond.</w:t>
      </w:r>
    </w:p>
    <w:p>
      <w:pPr>
        <w:pStyle w:val="ListBullet"/>
      </w:pPr>
      <w:r>
        <w:t>Operations chat</w:t>
      </w:r>
    </w:p>
    <w:p>
      <w:pPr>
        <w:pStyle w:val="ListBullet"/>
      </w:pPr>
      <w:r>
        <w:t>Mission escalation</w:t>
      </w:r>
    </w:p>
    <w:p>
      <w:pPr>
        <w:pStyle w:val="ListBullet"/>
      </w:pPr>
      <w:r>
        <w:t>Technical support</w:t>
      </w:r>
    </w:p>
    <w:p>
      <w:pPr>
        <w:pStyle w:val="ListBullet"/>
      </w:pPr>
      <w:r>
        <w:t>Payout support</w:t>
      </w:r>
    </w:p>
    <w:p>
      <w:pPr>
        <w:pStyle w:val="ListBullet"/>
      </w:pPr>
      <w:r>
        <w:t>Training support</w:t>
      </w:r>
    </w:p>
    <w:p>
      <w:pPr>
        <w:pStyle w:val="ListBullet"/>
      </w:pPr>
      <w:r>
        <w:t>Safety support</w:t>
      </w:r>
    </w:p>
    <w:p>
      <w:pPr>
        <w:pStyle w:val="ListBullet"/>
      </w:pPr>
      <w:r>
        <w:t>Account support</w:t>
      </w:r>
    </w:p>
    <w:p>
      <w:pPr>
        <w:pStyle w:val="Heading1"/>
      </w:pPr>
      <w:r>
        <w:t>28. Payout &amp; Incentive Framework</w:t>
      </w:r>
    </w:p>
    <w:p>
      <w:r>
        <w:t>Base payouts should be predictable and service-specific.</w:t>
      </w:r>
    </w:p>
    <w:p>
      <w:pPr>
        <w:pStyle w:val="ListBullet"/>
      </w:pPr>
      <w:r>
        <w:t>Base mission payout</w:t>
      </w:r>
    </w:p>
    <w:p>
      <w:pPr>
        <w:pStyle w:val="ListBullet"/>
      </w:pPr>
      <w:r>
        <w:t>Distance/travel adjustment</w:t>
      </w:r>
    </w:p>
    <w:p>
      <w:pPr>
        <w:pStyle w:val="ListBullet"/>
      </w:pPr>
      <w:r>
        <w:t>Urgency premium</w:t>
      </w:r>
    </w:p>
    <w:p>
      <w:pPr>
        <w:pStyle w:val="ListBullet"/>
      </w:pPr>
      <w:r>
        <w:t>Specialist premium</w:t>
      </w:r>
    </w:p>
    <w:p>
      <w:pPr>
        <w:pStyle w:val="ListBullet"/>
      </w:pPr>
      <w:r>
        <w:t>Approved expenses</w:t>
      </w:r>
    </w:p>
    <w:p>
      <w:pPr>
        <w:pStyle w:val="ListBullet"/>
      </w:pPr>
      <w:r>
        <w:t>Rework payment where applicable</w:t>
      </w:r>
    </w:p>
    <w:p>
      <w:pPr>
        <w:pStyle w:val="ListBullet"/>
      </w:pPr>
      <w:r>
        <w:t>Performance incentives</w:t>
      </w:r>
    </w:p>
    <w:p>
      <w:r>
        <w:t>Incentives should reward reliable outcomes and quality, not encourage unsafe or rushed behavior.</w:t>
      </w:r>
    </w:p>
    <w:p>
      <w:pPr>
        <w:pStyle w:val="Heading1"/>
      </w:pPr>
      <w:r>
        <w:t>29. Retention Strategy</w:t>
      </w:r>
    </w:p>
    <w:p>
      <w:pPr>
        <w:pStyle w:val="ListBullet"/>
      </w:pPr>
      <w:r>
        <w:t>Reliable mission flow</w:t>
      </w:r>
    </w:p>
    <w:p>
      <w:pPr>
        <w:pStyle w:val="ListBullet"/>
      </w:pPr>
      <w:r>
        <w:t>Transparent payout</w:t>
      </w:r>
    </w:p>
    <w:p>
      <w:pPr>
        <w:pStyle w:val="ListBullet"/>
      </w:pPr>
      <w:r>
        <w:t>Fast issue resolution</w:t>
      </w:r>
    </w:p>
    <w:p>
      <w:pPr>
        <w:pStyle w:val="ListBullet"/>
      </w:pPr>
      <w:r>
        <w:t>Training/certification</w:t>
      </w:r>
    </w:p>
    <w:p>
      <w:pPr>
        <w:pStyle w:val="ListBullet"/>
      </w:pPr>
      <w:r>
        <w:t>Career progression</w:t>
      </w:r>
    </w:p>
    <w:p>
      <w:pPr>
        <w:pStyle w:val="ListBullet"/>
      </w:pPr>
      <w:r>
        <w:t>Recognition</w:t>
      </w:r>
    </w:p>
    <w:p>
      <w:pPr>
        <w:pStyle w:val="ListBullet"/>
      </w:pPr>
      <w:r>
        <w:t>Priority access</w:t>
      </w:r>
    </w:p>
    <w:p>
      <w:pPr>
        <w:pStyle w:val="ListBullet"/>
      </w:pPr>
      <w:r>
        <w:t>Multi-client opportunities</w:t>
      </w:r>
    </w:p>
    <w:p>
      <w:pPr>
        <w:pStyle w:val="ListBullet"/>
      </w:pPr>
      <w:r>
        <w:t>Safety support</w:t>
      </w:r>
    </w:p>
    <w:p>
      <w:pPr>
        <w:pStyle w:val="ListBullet"/>
      </w:pPr>
      <w:r>
        <w:t>Professional reputation</w:t>
      </w:r>
    </w:p>
    <w:p>
      <w:r>
        <w:t>A strong agent should see FieldForce as a long-term professional network.</w:t>
      </w:r>
    </w:p>
    <w:p>
      <w:pPr>
        <w:pStyle w:val="Heading1"/>
      </w:pPr>
      <w:r>
        <w:t>30. Agent Progression</w:t>
      </w:r>
    </w:p>
    <w:p>
      <w:r>
        <w:t>A suggested progression path:</w:t>
      </w:r>
    </w:p>
    <w:p>
      <w:r>
        <w:t>Applicant → Verified → Starter → Verified Tier → Pro → Specialist → Elite</w:t>
      </w:r>
    </w:p>
    <w:p>
      <w:r>
        <w:t>Progression should be capability-specific and earned through demonstrated performance.</w:t>
      </w:r>
    </w:p>
    <w:p>
      <w:pPr>
        <w:pStyle w:val="Heading1"/>
      </w:pPr>
      <w:r>
        <w:t>31. Agent Career Paths</w:t>
      </w:r>
    </w:p>
    <w:p>
      <w:pPr>
        <w:pStyle w:val="ListBullet"/>
      </w:pPr>
      <w:r>
        <w:t>Property specialist</w:t>
      </w:r>
    </w:p>
    <w:p>
      <w:pPr>
        <w:pStyle w:val="ListBullet"/>
      </w:pPr>
      <w:r>
        <w:t>Verification specialist</w:t>
      </w:r>
    </w:p>
    <w:p>
      <w:pPr>
        <w:pStyle w:val="ListBullet"/>
      </w:pPr>
      <w:r>
        <w:t>Document specialist</w:t>
      </w:r>
    </w:p>
    <w:p>
      <w:pPr>
        <w:pStyle w:val="ListBullet"/>
      </w:pPr>
      <w:r>
        <w:t>Construction/site specialist</w:t>
      </w:r>
    </w:p>
    <w:p>
      <w:pPr>
        <w:pStyle w:val="ListBullet"/>
      </w:pPr>
      <w:r>
        <w:t>Inventory specialist</w:t>
      </w:r>
    </w:p>
    <w:p>
      <w:pPr>
        <w:pStyle w:val="ListBullet"/>
      </w:pPr>
      <w:r>
        <w:t>Senior field operator</w:t>
      </w:r>
    </w:p>
    <w:p>
      <w:pPr>
        <w:pStyle w:val="ListBullet"/>
      </w:pPr>
      <w:r>
        <w:t>Trainer/mentor</w:t>
      </w:r>
    </w:p>
    <w:p>
      <w:pPr>
        <w:pStyle w:val="ListBullet"/>
      </w:pPr>
      <w:r>
        <w:t>Quality field auditor</w:t>
      </w:r>
    </w:p>
    <w:p>
      <w:pPr>
        <w:pStyle w:val="ListBullet"/>
      </w:pPr>
      <w:r>
        <w:t>Regional field lead</w:t>
      </w:r>
    </w:p>
    <w:p>
      <w:r>
        <w:t>This creates a pathway beyond repeatedly accepting individual gigs.</w:t>
      </w:r>
    </w:p>
    <w:p>
      <w:pPr>
        <w:pStyle w:val="Heading1"/>
      </w:pPr>
      <w:r>
        <w:t>32. Mentor Program</w:t>
      </w:r>
    </w:p>
    <w:p>
      <w:r>
        <w:t>High-performing agents can become mentors for new operators.</w:t>
      </w:r>
    </w:p>
    <w:p>
      <w:pPr>
        <w:pStyle w:val="ListBullet"/>
      </w:pPr>
      <w:r>
        <w:t>Shadow/training support</w:t>
      </w:r>
    </w:p>
    <w:p>
      <w:pPr>
        <w:pStyle w:val="ListBullet"/>
      </w:pPr>
      <w:r>
        <w:t>Local onboarding</w:t>
      </w:r>
    </w:p>
    <w:p>
      <w:pPr>
        <w:pStyle w:val="ListBullet"/>
      </w:pPr>
      <w:r>
        <w:t>Evidence coaching</w:t>
      </w:r>
    </w:p>
    <w:p>
      <w:pPr>
        <w:pStyle w:val="ListBullet"/>
      </w:pPr>
      <w:r>
        <w:t>Safety guidance</w:t>
      </w:r>
    </w:p>
    <w:p>
      <w:pPr>
        <w:pStyle w:val="ListBullet"/>
      </w:pPr>
      <w:r>
        <w:t>Performance support</w:t>
      </w:r>
    </w:p>
    <w:p>
      <w:r>
        <w:t>Mentor status should require strong reputation and no material unresolved integrity/safety issues.</w:t>
      </w:r>
    </w:p>
    <w:p>
      <w:pPr>
        <w:pStyle w:val="Heading1"/>
      </w:pPr>
      <w:r>
        <w:t>33. Regional Workforce Structure</w:t>
      </w:r>
    </w:p>
    <w:p>
      <w:r>
        <w:t>As the network grows, establish regional operating coverage.</w:t>
      </w:r>
    </w:p>
    <w:tbl>
      <w:tblPr>
        <w:tblStyle w:val="TableGrid"/>
        <w:tblW w:type="auto" w:w="0"/>
        <w:jc w:val="center"/>
        <w:tblLook w:firstColumn="1" w:firstRow="1" w:lastColumn="0" w:lastRow="0" w:noHBand="0" w:noVBand="1" w:val="04A0"/>
      </w:tblPr>
      <w:tblGrid>
        <w:gridCol w:w="5112"/>
        <w:gridCol w:w="5112"/>
      </w:tblGrid>
      <w:tr>
        <w:tc>
          <w:tcPr>
            <w:tcW w:type="dxa" w:w="5112"/>
          </w:tcPr>
          <w:p>
            <w:r>
              <w:t>Level</w:t>
            </w:r>
          </w:p>
        </w:tc>
        <w:tc>
          <w:tcPr>
            <w:tcW w:type="dxa" w:w="5112"/>
          </w:tcPr>
          <w:p>
            <w:r>
              <w:t>Responsibility</w:t>
            </w:r>
          </w:p>
        </w:tc>
      </w:tr>
      <w:tr>
        <w:tc>
          <w:tcPr>
            <w:tcW w:type="dxa" w:w="5112"/>
          </w:tcPr>
          <w:p>
            <w:r>
              <w:t>National</w:t>
            </w:r>
          </w:p>
        </w:tc>
        <w:tc>
          <w:tcPr>
            <w:tcW w:type="dxa" w:w="5112"/>
          </w:tcPr>
          <w:p>
            <w:r>
              <w:t>Policy, strategy, workforce capacity</w:t>
            </w:r>
          </w:p>
        </w:tc>
      </w:tr>
      <w:tr>
        <w:tc>
          <w:tcPr>
            <w:tcW w:type="dxa" w:w="5112"/>
          </w:tcPr>
          <w:p>
            <w:r>
              <w:t>Regional/State</w:t>
            </w:r>
          </w:p>
        </w:tc>
        <w:tc>
          <w:tcPr>
            <w:tcW w:type="dxa" w:w="5112"/>
          </w:tcPr>
          <w:p>
            <w:r>
              <w:t>Recruitment, capacity, quality support</w:t>
            </w:r>
          </w:p>
        </w:tc>
      </w:tr>
      <w:tr>
        <w:tc>
          <w:tcPr>
            <w:tcW w:type="dxa" w:w="5112"/>
          </w:tcPr>
          <w:p>
            <w:r>
              <w:t>LGA/City</w:t>
            </w:r>
          </w:p>
        </w:tc>
        <w:tc>
          <w:tcPr>
            <w:tcW w:type="dxa" w:w="5112"/>
          </w:tcPr>
          <w:p>
            <w:r>
              <w:t>Local coverage and agent readiness</w:t>
            </w:r>
          </w:p>
        </w:tc>
      </w:tr>
      <w:tr>
        <w:tc>
          <w:tcPr>
            <w:tcW w:type="dxa" w:w="5112"/>
          </w:tcPr>
          <w:p>
            <w:r>
              <w:t>Agent</w:t>
            </w:r>
          </w:p>
        </w:tc>
        <w:tc>
          <w:tcPr>
            <w:tcW w:type="dxa" w:w="5112"/>
          </w:tcPr>
          <w:p>
            <w:r>
              <w:t>Mission execution</w:t>
            </w:r>
          </w:p>
        </w:tc>
      </w:tr>
    </w:tbl>
    <w:p>
      <w:pPr>
        <w:pStyle w:val="Heading1"/>
      </w:pPr>
      <w:r>
        <w:t>34. Workforce Capacity Planning</w:t>
      </w:r>
    </w:p>
    <w:p>
      <w:r>
        <w:t>Track:</w:t>
      </w:r>
    </w:p>
    <w:p>
      <w:pPr>
        <w:pStyle w:val="ListBullet"/>
      </w:pPr>
      <w:r>
        <w:t>Active verified agents</w:t>
      </w:r>
    </w:p>
    <w:p>
      <w:pPr>
        <w:pStyle w:val="ListBullet"/>
      </w:pPr>
      <w:r>
        <w:t>Experienced agents</w:t>
      </w:r>
    </w:p>
    <w:p>
      <w:pPr>
        <w:pStyle w:val="ListBullet"/>
      </w:pPr>
      <w:r>
        <w:t>Ready-now agents</w:t>
      </w:r>
    </w:p>
    <w:p>
      <w:pPr>
        <w:pStyle w:val="ListBullet"/>
      </w:pPr>
      <w:r>
        <w:t>Specialists</w:t>
      </w:r>
    </w:p>
    <w:p>
      <w:pPr>
        <w:pStyle w:val="ListBullet"/>
      </w:pPr>
      <w:r>
        <w:t>Capacity by LGA</w:t>
      </w:r>
    </w:p>
    <w:p>
      <w:pPr>
        <w:pStyle w:val="ListBullet"/>
      </w:pPr>
      <w:r>
        <w:t>Capacity by service</w:t>
      </w:r>
    </w:p>
    <w:p>
      <w:pPr>
        <w:pStyle w:val="ListBullet"/>
      </w:pPr>
      <w:r>
        <w:t>Capacity by tier</w:t>
      </w:r>
    </w:p>
    <w:p>
      <w:pPr>
        <w:pStyle w:val="ListBullet"/>
      </w:pPr>
      <w:r>
        <w:t>Expected demand</w:t>
      </w:r>
    </w:p>
    <w:p>
      <w:pPr>
        <w:pStyle w:val="ListBullet"/>
      </w:pPr>
      <w:r>
        <w:t>Reserve gap</w:t>
      </w:r>
    </w:p>
    <w:p>
      <w:r>
        <w:t>Use demand and reserve thresholds to trigger recruitment or training.</w:t>
      </w:r>
    </w:p>
    <w:p>
      <w:pPr>
        <w:pStyle w:val="Heading1"/>
      </w:pPr>
      <w:r>
        <w:t>35. Agent Data &amp; Privacy</w:t>
      </w:r>
    </w:p>
    <w:p>
      <w:r>
        <w:t>Agent records contain sensitive identity, financial, location, and performance information. Access must be role-based and minimized.</w:t>
      </w:r>
    </w:p>
    <w:p>
      <w:pPr>
        <w:pStyle w:val="ListBullet"/>
      </w:pPr>
      <w:r>
        <w:t>Separate identity from operational views where possible</w:t>
      </w:r>
    </w:p>
    <w:p>
      <w:pPr>
        <w:pStyle w:val="ListBullet"/>
      </w:pPr>
      <w:r>
        <w:t>Restrict financial data</w:t>
      </w:r>
    </w:p>
    <w:p>
      <w:pPr>
        <w:pStyle w:val="ListBullet"/>
      </w:pPr>
      <w:r>
        <w:t>Protect location history</w:t>
      </w:r>
    </w:p>
    <w:p>
      <w:pPr>
        <w:pStyle w:val="ListBullet"/>
      </w:pPr>
      <w:r>
        <w:t>Limit internal trust data</w:t>
      </w:r>
    </w:p>
    <w:p>
      <w:pPr>
        <w:pStyle w:val="ListBullet"/>
      </w:pPr>
      <w:r>
        <w:t>Maintain audit logs</w:t>
      </w:r>
    </w:p>
    <w:p>
      <w:pPr>
        <w:pStyle w:val="ListBullet"/>
      </w:pPr>
      <w:r>
        <w:t>Apply retention rules</w:t>
      </w:r>
    </w:p>
    <w:p>
      <w:pPr>
        <w:pStyle w:val="ListBullet"/>
      </w:pPr>
      <w:r>
        <w:t>Secure evidence</w:t>
      </w:r>
    </w:p>
    <w:p>
      <w:pPr>
        <w:pStyle w:val="Heading1"/>
      </w:pPr>
      <w:r>
        <w:t>36. Device Trust</w:t>
      </w:r>
    </w:p>
    <w:p>
      <w:r>
        <w:t>Maintain: Agent → Account → Trusted Device → Session → Mission → Evidence.</w:t>
      </w:r>
    </w:p>
    <w:p>
      <w:pPr>
        <w:pStyle w:val="ListBullet"/>
      </w:pPr>
      <w:r>
        <w:t>Device registration</w:t>
      </w:r>
    </w:p>
    <w:p>
      <w:pPr>
        <w:pStyle w:val="ListBullet"/>
      </w:pPr>
      <w:r>
        <w:t>Session management</w:t>
      </w:r>
    </w:p>
    <w:p>
      <w:pPr>
        <w:pStyle w:val="ListBullet"/>
      </w:pPr>
      <w:r>
        <w:t>Device revocation</w:t>
      </w:r>
    </w:p>
    <w:p>
      <w:pPr>
        <w:pStyle w:val="ListBullet"/>
      </w:pPr>
      <w:r>
        <w:t>OTP/re-authentication</w:t>
      </w:r>
    </w:p>
    <w:p>
      <w:pPr>
        <w:pStyle w:val="ListBullet"/>
      </w:pPr>
      <w:r>
        <w:t>Sensitive action protection</w:t>
      </w:r>
    </w:p>
    <w:p>
      <w:pPr>
        <w:pStyle w:val="ListBullet"/>
      </w:pPr>
      <w:r>
        <w:t>Suspicious device switching alerts</w:t>
      </w:r>
    </w:p>
    <w:p>
      <w:pPr>
        <w:pStyle w:val="Heading1"/>
      </w:pPr>
      <w:r>
        <w:t>37. Fraud &amp; Integrity</w:t>
      </w:r>
    </w:p>
    <w:p>
      <w:r>
        <w:t>FieldForce should detect and investigate patterns such as:</w:t>
      </w:r>
    </w:p>
    <w:p>
      <w:pPr>
        <w:pStyle w:val="ListBullet"/>
      </w:pPr>
      <w:r>
        <w:t>GPS anomalies</w:t>
      </w:r>
    </w:p>
    <w:p>
      <w:pPr>
        <w:pStyle w:val="ListBullet"/>
      </w:pPr>
      <w:r>
        <w:t>Impossible travel</w:t>
      </w:r>
    </w:p>
    <w:p>
      <w:pPr>
        <w:pStyle w:val="ListBullet"/>
      </w:pPr>
      <w:r>
        <w:t>Evidence reuse</w:t>
      </w:r>
    </w:p>
    <w:p>
      <w:pPr>
        <w:pStyle w:val="ListBullet"/>
      </w:pPr>
      <w:r>
        <w:t>Device switching</w:t>
      </w:r>
    </w:p>
    <w:p>
      <w:pPr>
        <w:pStyle w:val="ListBullet"/>
      </w:pPr>
      <w:r>
        <w:t>Simultaneous missions</w:t>
      </w:r>
    </w:p>
    <w:p>
      <w:pPr>
        <w:pStyle w:val="ListBullet"/>
      </w:pPr>
      <w:r>
        <w:t>Suspicious offline synchronization</w:t>
      </w:r>
    </w:p>
    <w:p>
      <w:pPr>
        <w:pStyle w:val="ListBullet"/>
      </w:pPr>
      <w:r>
        <w:t>Repeated abnormal cancellation</w:t>
      </w:r>
    </w:p>
    <w:p>
      <w:pPr>
        <w:pStyle w:val="ListBullet"/>
      </w:pPr>
      <w:r>
        <w:t>Identity inconsistencies</w:t>
      </w:r>
    </w:p>
    <w:p>
      <w:r>
        <w:t>Automated signals are investigation triggers, not automatic guilt determinations.</w:t>
      </w:r>
    </w:p>
    <w:p>
      <w:pPr>
        <w:pStyle w:val="Heading1"/>
      </w:pPr>
      <w:r>
        <w:t>38. Workforce Analytics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Use</w:t>
            </w:r>
          </w:p>
        </w:tc>
      </w:tr>
      <w:tr>
        <w:tc>
          <w:tcPr>
            <w:tcW w:type="dxa" w:w="5112"/>
          </w:tcPr>
          <w:p>
            <w:r>
              <w:t>Active verified agents</w:t>
            </w:r>
          </w:p>
        </w:tc>
        <w:tc>
          <w:tcPr>
            <w:tcW w:type="dxa" w:w="5112"/>
          </w:tcPr>
          <w:p>
            <w:r>
              <w:t>Actual network size</w:t>
            </w:r>
          </w:p>
        </w:tc>
      </w:tr>
      <w:tr>
        <w:tc>
          <w:tcPr>
            <w:tcW w:type="dxa" w:w="5112"/>
          </w:tcPr>
          <w:p>
            <w:r>
              <w:t>Ready-now agents</w:t>
            </w:r>
          </w:p>
        </w:tc>
        <w:tc>
          <w:tcPr>
            <w:tcW w:type="dxa" w:w="5112"/>
          </w:tcPr>
          <w:p>
            <w:r>
              <w:t>Immediate capacity</w:t>
            </w:r>
          </w:p>
        </w:tc>
      </w:tr>
      <w:tr>
        <w:tc>
          <w:tcPr>
            <w:tcW w:type="dxa" w:w="5112"/>
          </w:tcPr>
          <w:p>
            <w:r>
              <w:t>Experienced agents</w:t>
            </w:r>
          </w:p>
        </w:tc>
        <w:tc>
          <w:tcPr>
            <w:tcW w:type="dxa" w:w="5112"/>
          </w:tcPr>
          <w:p>
            <w:r>
              <w:t>Quality reserve</w:t>
            </w:r>
          </w:p>
        </w:tc>
      </w:tr>
      <w:tr>
        <w:tc>
          <w:tcPr>
            <w:tcW w:type="dxa" w:w="5112"/>
          </w:tcPr>
          <w:p>
            <w:r>
              <w:t>Coverage by LGA</w:t>
            </w:r>
          </w:p>
        </w:tc>
        <w:tc>
          <w:tcPr>
            <w:tcW w:type="dxa" w:w="5112"/>
          </w:tcPr>
          <w:p>
            <w:r>
              <w:t>Geographic readiness</w:t>
            </w:r>
          </w:p>
        </w:tc>
      </w:tr>
      <w:tr>
        <w:tc>
          <w:tcPr>
            <w:tcW w:type="dxa" w:w="5112"/>
          </w:tcPr>
          <w:p>
            <w:r>
              <w:t>Agent utilization</w:t>
            </w:r>
          </w:p>
        </w:tc>
        <w:tc>
          <w:tcPr>
            <w:tcW w:type="dxa" w:w="5112"/>
          </w:tcPr>
          <w:p>
            <w:r>
              <w:t>Workforce economics</w:t>
            </w:r>
          </w:p>
        </w:tc>
      </w:tr>
      <w:tr>
        <w:tc>
          <w:tcPr>
            <w:tcW w:type="dxa" w:w="5112"/>
          </w:tcPr>
          <w:p>
            <w:r>
              <w:t>Retention</w:t>
            </w:r>
          </w:p>
        </w:tc>
        <w:tc>
          <w:tcPr>
            <w:tcW w:type="dxa" w:w="5112"/>
          </w:tcPr>
          <w:p>
            <w:r>
              <w:t>Network health</w:t>
            </w:r>
          </w:p>
        </w:tc>
      </w:tr>
      <w:tr>
        <w:tc>
          <w:tcPr>
            <w:tcW w:type="dxa" w:w="5112"/>
          </w:tcPr>
          <w:p>
            <w:r>
              <w:t>No-show rate</w:t>
            </w:r>
          </w:p>
        </w:tc>
        <w:tc>
          <w:tcPr>
            <w:tcW w:type="dxa" w:w="5112"/>
          </w:tcPr>
          <w:p>
            <w:r>
              <w:t>Reliability</w:t>
            </w:r>
          </w:p>
        </w:tc>
      </w:tr>
      <w:tr>
        <w:tc>
          <w:tcPr>
            <w:tcW w:type="dxa" w:w="5112"/>
          </w:tcPr>
          <w:p>
            <w:r>
              <w:t>QC pass rate</w:t>
            </w:r>
          </w:p>
        </w:tc>
        <w:tc>
          <w:tcPr>
            <w:tcW w:type="dxa" w:w="5112"/>
          </w:tcPr>
          <w:p>
            <w:r>
              <w:t>Quality</w:t>
            </w:r>
          </w:p>
        </w:tc>
      </w:tr>
      <w:tr>
        <w:tc>
          <w:tcPr>
            <w:tcW w:type="dxa" w:w="5112"/>
          </w:tcPr>
          <w:p>
            <w:r>
              <w:t>Average response time</w:t>
            </w:r>
          </w:p>
        </w:tc>
        <w:tc>
          <w:tcPr>
            <w:tcW w:type="dxa" w:w="5112"/>
          </w:tcPr>
          <w:p>
            <w:r>
              <w:t>Dispatch efficiency</w:t>
            </w:r>
          </w:p>
        </w:tc>
      </w:tr>
      <w:tr>
        <w:tc>
          <w:tcPr>
            <w:tcW w:type="dxa" w:w="5112"/>
          </w:tcPr>
          <w:p>
            <w:r>
              <w:t>Certification coverage</w:t>
            </w:r>
          </w:p>
        </w:tc>
        <w:tc>
          <w:tcPr>
            <w:tcW w:type="dxa" w:w="5112"/>
          </w:tcPr>
          <w:p>
            <w:r>
              <w:t>Capability readiness</w:t>
            </w:r>
          </w:p>
        </w:tc>
      </w:tr>
    </w:tbl>
    <w:p>
      <w:pPr>
        <w:pStyle w:val="Heading1"/>
      </w:pPr>
      <w:r>
        <w:t>39. Agent Incentive System</w:t>
      </w:r>
    </w:p>
    <w:p>
      <w:r>
        <w:t>Potential incentives should be designed around quality and reliability.</w:t>
      </w:r>
    </w:p>
    <w:p>
      <w:pPr>
        <w:pStyle w:val="ListBullet"/>
      </w:pPr>
      <w:r>
        <w:t>Priority mission access</w:t>
      </w:r>
    </w:p>
    <w:p>
      <w:pPr>
        <w:pStyle w:val="ListBullet"/>
      </w:pPr>
      <w:r>
        <w:t>Tier bonuses</w:t>
      </w:r>
    </w:p>
    <w:p>
      <w:pPr>
        <w:pStyle w:val="ListBullet"/>
      </w:pPr>
      <w:r>
        <w:t>Specialist premiums</w:t>
      </w:r>
    </w:p>
    <w:p>
      <w:pPr>
        <w:pStyle w:val="ListBullet"/>
      </w:pPr>
      <w:r>
        <w:t>Consistent-performance bonuses</w:t>
      </w:r>
    </w:p>
    <w:p>
      <w:pPr>
        <w:pStyle w:val="ListBullet"/>
      </w:pPr>
      <w:r>
        <w:t>Mentor incentives</w:t>
      </w:r>
    </w:p>
    <w:p>
      <w:pPr>
        <w:pStyle w:val="ListBullet"/>
      </w:pPr>
      <w:r>
        <w:t>Training/certification support</w:t>
      </w:r>
    </w:p>
    <w:p>
      <w:pPr>
        <w:pStyle w:val="ListBullet"/>
      </w:pPr>
      <w:r>
        <w:t>Recognition programs</w:t>
      </w:r>
    </w:p>
    <w:p>
      <w:r>
        <w:t>Avoid incentives that encourage excessive mission acceptance, unsafe driving, rushed inspections, or evidence shortcuts.</w:t>
      </w:r>
    </w:p>
    <w:p>
      <w:pPr>
        <w:pStyle w:val="Heading1"/>
      </w:pPr>
      <w:r>
        <w:t>40. Workforce Governance</w:t>
      </w:r>
    </w:p>
    <w:p>
      <w:r>
        <w:t>FieldForce Operations owns day-to-day workforce management. Leadership owns policy, capacity, commercial strategy, and risk.</w:t>
      </w:r>
    </w:p>
    <w:p>
      <w:pPr>
        <w:pStyle w:val="ListBullet"/>
      </w:pPr>
      <w:r>
        <w:t>Agent policy owner</w:t>
      </w:r>
    </w:p>
    <w:p>
      <w:pPr>
        <w:pStyle w:val="ListBullet"/>
      </w:pPr>
      <w:r>
        <w:t>KYC/verification owner</w:t>
      </w:r>
    </w:p>
    <w:p>
      <w:pPr>
        <w:pStyle w:val="ListBullet"/>
      </w:pPr>
      <w:r>
        <w:t>Training owner</w:t>
      </w:r>
    </w:p>
    <w:p>
      <w:pPr>
        <w:pStyle w:val="ListBullet"/>
      </w:pPr>
      <w:r>
        <w:t>Dispatch owner</w:t>
      </w:r>
    </w:p>
    <w:p>
      <w:pPr>
        <w:pStyle w:val="ListBullet"/>
      </w:pPr>
      <w:r>
        <w:t>QC owner</w:t>
      </w:r>
    </w:p>
    <w:p>
      <w:pPr>
        <w:pStyle w:val="ListBullet"/>
      </w:pPr>
      <w:r>
        <w:t>Safety owner</w:t>
      </w:r>
    </w:p>
    <w:p>
      <w:pPr>
        <w:pStyle w:val="ListBullet"/>
      </w:pPr>
      <w:r>
        <w:t>Trust/integrity owner</w:t>
      </w:r>
    </w:p>
    <w:p>
      <w:pPr>
        <w:pStyle w:val="ListBullet"/>
      </w:pPr>
      <w:r>
        <w:t>Agent support owner</w:t>
      </w:r>
    </w:p>
    <w:p>
      <w:pPr>
        <w:pStyle w:val="ListBullet"/>
      </w:pPr>
      <w:r>
        <w:t>Finance/payout owner</w:t>
      </w:r>
    </w:p>
    <w:p>
      <w:pPr>
        <w:pStyle w:val="Heading1"/>
      </w:pPr>
      <w:r>
        <w:t>41. Agent Operating Policies</w:t>
      </w:r>
    </w:p>
    <w:p>
      <w:r>
        <w:t>Maintain a controlled policy library covering:</w:t>
      </w:r>
    </w:p>
    <w:p>
      <w:pPr>
        <w:pStyle w:val="ListBullet"/>
      </w:pPr>
      <w:r>
        <w:t>Code of conduct</w:t>
      </w:r>
    </w:p>
    <w:p>
      <w:pPr>
        <w:pStyle w:val="ListBullet"/>
      </w:pPr>
      <w:r>
        <w:t>KYC</w:t>
      </w:r>
    </w:p>
    <w:p>
      <w:pPr>
        <w:pStyle w:val="ListBullet"/>
      </w:pPr>
      <w:r>
        <w:t>Privacy</w:t>
      </w:r>
    </w:p>
    <w:p>
      <w:pPr>
        <w:pStyle w:val="ListBullet"/>
      </w:pPr>
      <w:r>
        <w:t>Evidence</w:t>
      </w:r>
    </w:p>
    <w:p>
      <w:pPr>
        <w:pStyle w:val="ListBullet"/>
      </w:pPr>
      <w:r>
        <w:t>GPS</w:t>
      </w:r>
    </w:p>
    <w:p>
      <w:pPr>
        <w:pStyle w:val="ListBullet"/>
      </w:pPr>
      <w:r>
        <w:t>Safety</w:t>
      </w:r>
    </w:p>
    <w:p>
      <w:pPr>
        <w:pStyle w:val="ListBullet"/>
      </w:pPr>
      <w:r>
        <w:t>Payout</w:t>
      </w:r>
    </w:p>
    <w:p>
      <w:pPr>
        <w:pStyle w:val="ListBullet"/>
      </w:pPr>
      <w:r>
        <w:t>Expenses</w:t>
      </w:r>
    </w:p>
    <w:p>
      <w:pPr>
        <w:pStyle w:val="ListBullet"/>
      </w:pPr>
      <w:r>
        <w:t>Mission acceptance</w:t>
      </w:r>
    </w:p>
    <w:p>
      <w:pPr>
        <w:pStyle w:val="ListBullet"/>
      </w:pPr>
      <w:r>
        <w:t>Cancellation</w:t>
      </w:r>
    </w:p>
    <w:p>
      <w:pPr>
        <w:pStyle w:val="ListBullet"/>
      </w:pPr>
      <w:r>
        <w:t>Rework</w:t>
      </w:r>
    </w:p>
    <w:p>
      <w:pPr>
        <w:pStyle w:val="ListBullet"/>
      </w:pPr>
      <w:r>
        <w:t>Client interaction</w:t>
      </w:r>
    </w:p>
    <w:p>
      <w:pPr>
        <w:pStyle w:val="ListBullet"/>
      </w:pPr>
      <w:r>
        <w:t>Discipline</w:t>
      </w:r>
    </w:p>
    <w:p>
      <w:pPr>
        <w:pStyle w:val="ListBullet"/>
      </w:pPr>
      <w:r>
        <w:t>Appeals</w:t>
      </w:r>
    </w:p>
    <w:p>
      <w:pPr>
        <w:pStyle w:val="ListBullet"/>
      </w:pPr>
      <w:r>
        <w:t>Device security</w:t>
      </w:r>
    </w:p>
    <w:p>
      <w:pPr>
        <w:pStyle w:val="Heading1"/>
      </w:pPr>
      <w:r>
        <w:t>42. Workforce Reserve Rules</w:t>
      </w:r>
    </w:p>
    <w:p>
      <w:r>
        <w:t>For each priority service/geography, define a target reserve.</w:t>
      </w:r>
    </w:p>
    <w:p>
      <w:r>
        <w:t>Example structure: minimum ready-now agents + minimum standby agents + active recruitment pipeline.</w:t>
      </w:r>
    </w:p>
    <w:p>
      <w:r>
        <w:t>Reserve targets should increase for high-risk or high-SLA services.</w:t>
      </w:r>
    </w:p>
    <w:p>
      <w:pPr>
        <w:pStyle w:val="Heading1"/>
      </w:pPr>
      <w:r>
        <w:t>43. ASOJU Priority</w:t>
      </w:r>
    </w:p>
    <w:p>
      <w:r>
        <w:t>ASOJU should receive agreed priority access to FieldForce capacity because FieldForce exists first to strengthen ASOJU execution. However, the rules must be explicit so external commitments can be managed responsibly.</w:t>
      </w:r>
    </w:p>
    <w:p>
      <w:pPr>
        <w:pStyle w:val="ListBullet"/>
      </w:pPr>
      <w:r>
        <w:t>Reserved ASOJU capacity</w:t>
      </w:r>
    </w:p>
    <w:p>
      <w:pPr>
        <w:pStyle w:val="ListBullet"/>
      </w:pPr>
      <w:r>
        <w:t>Critical-case priority</w:t>
      </w:r>
    </w:p>
    <w:p>
      <w:pPr>
        <w:pStyle w:val="ListBullet"/>
      </w:pPr>
      <w:r>
        <w:t>Standard ASOJU pool</w:t>
      </w:r>
    </w:p>
    <w:p>
      <w:pPr>
        <w:pStyle w:val="ListBullet"/>
      </w:pPr>
      <w:r>
        <w:t>Commercially available capacity</w:t>
      </w:r>
    </w:p>
    <w:p>
      <w:pPr>
        <w:pStyle w:val="ListBullet"/>
      </w:pPr>
      <w:r>
        <w:t>Emergency overflow recruitment</w:t>
      </w:r>
    </w:p>
    <w:p>
      <w:pPr>
        <w:pStyle w:val="Heading1"/>
      </w:pPr>
      <w:r>
        <w:t>44. External Client Exposure</w:t>
      </w:r>
    </w:p>
    <w:p>
      <w:r>
        <w:t>Agents should not choose clients based on unrestricted customer identity. Missions expose only information necessary for execution.</w:t>
      </w:r>
    </w:p>
    <w:p>
      <w:r>
        <w:t>The FieldForce platform should manage client assignment and privacy centrally.</w:t>
      </w:r>
    </w:p>
    <w:p>
      <w:pPr>
        <w:pStyle w:val="Heading1"/>
      </w:pPr>
      <w:r>
        <w:t>45. Agent Operating Scorecard</w:t>
      </w:r>
    </w:p>
    <w:tbl>
      <w:tblPr>
        <w:tblStyle w:val="TableGrid"/>
        <w:tblW w:type="auto" w:w="0"/>
        <w:jc w:val="center"/>
        <w:tblLook w:firstColumn="1" w:firstRow="1" w:lastColumn="0" w:lastRow="0" w:noHBand="0" w:noVBand="1" w:val="04A0"/>
      </w:tblPr>
      <w:tblGrid>
        <w:gridCol w:w="5112"/>
        <w:gridCol w:w="5112"/>
      </w:tblGrid>
      <w:tr>
        <w:tc>
          <w:tcPr>
            <w:tcW w:type="dxa" w:w="5112"/>
          </w:tcPr>
          <w:p>
            <w:r>
              <w:t>Scorecard area</w:t>
            </w:r>
          </w:p>
        </w:tc>
        <w:tc>
          <w:tcPr>
            <w:tcW w:type="dxa" w:w="5112"/>
          </w:tcPr>
          <w:p>
            <w:r>
              <w:t>Primary measures</w:t>
            </w:r>
          </w:p>
        </w:tc>
      </w:tr>
      <w:tr>
        <w:tc>
          <w:tcPr>
            <w:tcW w:type="dxa" w:w="5112"/>
          </w:tcPr>
          <w:p>
            <w:r>
              <w:t>Readiness</w:t>
            </w:r>
          </w:p>
        </w:tc>
        <w:tc>
          <w:tcPr>
            <w:tcW w:type="dxa" w:w="5112"/>
          </w:tcPr>
          <w:p>
            <w:r>
              <w:t>Availability, response time</w:t>
            </w:r>
          </w:p>
        </w:tc>
      </w:tr>
      <w:tr>
        <w:tc>
          <w:tcPr>
            <w:tcW w:type="dxa" w:w="5112"/>
          </w:tcPr>
          <w:p>
            <w:r>
              <w:t>Reliability</w:t>
            </w:r>
          </w:p>
        </w:tc>
        <w:tc>
          <w:tcPr>
            <w:tcW w:type="dxa" w:w="5112"/>
          </w:tcPr>
          <w:p>
            <w:r>
              <w:t>Completion, no-show, cancellation</w:t>
            </w:r>
          </w:p>
        </w:tc>
      </w:tr>
      <w:tr>
        <w:tc>
          <w:tcPr>
            <w:tcW w:type="dxa" w:w="5112"/>
          </w:tcPr>
          <w:p>
            <w:r>
              <w:t>Quality</w:t>
            </w:r>
          </w:p>
        </w:tc>
        <w:tc>
          <w:tcPr>
            <w:tcW w:type="dxa" w:w="5112"/>
          </w:tcPr>
          <w:p>
            <w:r>
              <w:t>QC pass, evidence quality</w:t>
            </w:r>
          </w:p>
        </w:tc>
      </w:tr>
      <w:tr>
        <w:tc>
          <w:tcPr>
            <w:tcW w:type="dxa" w:w="5112"/>
          </w:tcPr>
          <w:p>
            <w:r>
              <w:t>Safety</w:t>
            </w:r>
          </w:p>
        </w:tc>
        <w:tc>
          <w:tcPr>
            <w:tcW w:type="dxa" w:w="5112"/>
          </w:tcPr>
          <w:p>
            <w:r>
              <w:t>Incidents, compliance</w:t>
            </w:r>
          </w:p>
        </w:tc>
      </w:tr>
      <w:tr>
        <w:tc>
          <w:tcPr>
            <w:tcW w:type="dxa" w:w="5112"/>
          </w:tcPr>
          <w:p>
            <w:r>
              <w:t>Capability</w:t>
            </w:r>
          </w:p>
        </w:tc>
        <w:tc>
          <w:tcPr>
            <w:tcW w:type="dxa" w:w="5112"/>
          </w:tcPr>
          <w:p>
            <w:r>
              <w:t>Certified/experienced services</w:t>
            </w:r>
          </w:p>
        </w:tc>
      </w:tr>
      <w:tr>
        <w:tc>
          <w:tcPr>
            <w:tcW w:type="dxa" w:w="5112"/>
          </w:tcPr>
          <w:p>
            <w:r>
              <w:t>Professionalism</w:t>
            </w:r>
          </w:p>
        </w:tc>
        <w:tc>
          <w:tcPr>
            <w:tcW w:type="dxa" w:w="5112"/>
          </w:tcPr>
          <w:p>
            <w:r>
              <w:t>Communication, conduct</w:t>
            </w:r>
          </w:p>
        </w:tc>
      </w:tr>
      <w:tr>
        <w:tc>
          <w:tcPr>
            <w:tcW w:type="dxa" w:w="5112"/>
          </w:tcPr>
          <w:p>
            <w:r>
              <w:t>Growth</w:t>
            </w:r>
          </w:p>
        </w:tc>
        <w:tc>
          <w:tcPr>
            <w:tcW w:type="dxa" w:w="5112"/>
          </w:tcPr>
          <w:p>
            <w:r>
              <w:t>Training and progression</w:t>
            </w:r>
          </w:p>
        </w:tc>
      </w:tr>
    </w:tbl>
    <w:p>
      <w:pPr>
        <w:pStyle w:val="Heading1"/>
      </w:pPr>
      <w:r>
        <w:t>46. Monthly Agent Review</w:t>
      </w:r>
    </w:p>
    <w:p>
      <w:r>
        <w:t>For higher-tier agents and/or agents under review, Operations should conduct periodic performance reviews.</w:t>
      </w:r>
    </w:p>
    <w:p>
      <w:pPr>
        <w:pStyle w:val="ListBullet"/>
      </w:pPr>
      <w:r>
        <w:t>Performance summary</w:t>
      </w:r>
    </w:p>
    <w:p>
      <w:pPr>
        <w:pStyle w:val="ListBullet"/>
      </w:pPr>
      <w:r>
        <w:t>Mission mix</w:t>
      </w:r>
    </w:p>
    <w:p>
      <w:pPr>
        <w:pStyle w:val="ListBullet"/>
      </w:pPr>
      <w:r>
        <w:t>QC trends</w:t>
      </w:r>
    </w:p>
    <w:p>
      <w:pPr>
        <w:pStyle w:val="ListBullet"/>
      </w:pPr>
      <w:r>
        <w:t>Safety</w:t>
      </w:r>
    </w:p>
    <w:p>
      <w:pPr>
        <w:pStyle w:val="ListBullet"/>
      </w:pPr>
      <w:r>
        <w:t>Training</w:t>
      </w:r>
    </w:p>
    <w:p>
      <w:pPr>
        <w:pStyle w:val="ListBullet"/>
      </w:pPr>
      <w:r>
        <w:t>Client feedback</w:t>
      </w:r>
    </w:p>
    <w:p>
      <w:pPr>
        <w:pStyle w:val="ListBullet"/>
      </w:pPr>
      <w:r>
        <w:t>Tier status</w:t>
      </w:r>
    </w:p>
    <w:p>
      <w:pPr>
        <w:pStyle w:val="ListBullet"/>
      </w:pPr>
      <w:r>
        <w:t>Development plan</w:t>
      </w:r>
    </w:p>
    <w:p>
      <w:pPr>
        <w:pStyle w:val="Heading1"/>
      </w:pPr>
      <w:r>
        <w:t>47. Workforce Development Loop</w:t>
      </w:r>
    </w:p>
    <w:p>
      <w:r>
        <w:t>QC failure → root cause → training update → agent coaching → certification improvement → service standard improvement.</w:t>
      </w:r>
    </w:p>
    <w:p>
      <w:r>
        <w:t>The workforce should become better as the platform processes more missions.</w:t>
      </w:r>
    </w:p>
    <w:p>
      <w:pPr>
        <w:pStyle w:val="Heading1"/>
      </w:pPr>
      <w:r>
        <w:t>48. Agent Network Flywheel</w:t>
      </w:r>
    </w:p>
    <w:p>
      <w:r>
        <w:t>Better recruitment → better verification → better training → better missions → better experience → stronger reputation → better client outcomes → more demand → more missions → stronger retention → stronger workforce.</w:t>
      </w:r>
    </w:p>
    <w:p>
      <w:pPr>
        <w:pStyle w:val="Heading1"/>
      </w:pPr>
      <w:r>
        <w:t>49. Minimum Viable Workforce Framework</w:t>
      </w:r>
    </w:p>
    <w:p>
      <w:pPr>
        <w:pStyle w:val="ListBullet"/>
      </w:pPr>
      <w:r>
        <w:t>Verified agent identity</w:t>
      </w:r>
    </w:p>
    <w:p>
      <w:pPr>
        <w:pStyle w:val="ListBullet"/>
      </w:pPr>
      <w:r>
        <w:t>LGA coverage</w:t>
      </w:r>
    </w:p>
    <w:p>
      <w:pPr>
        <w:pStyle w:val="ListBullet"/>
      </w:pPr>
      <w:r>
        <w:t>Core training</w:t>
      </w:r>
    </w:p>
    <w:p>
      <w:pPr>
        <w:pStyle w:val="ListBullet"/>
      </w:pPr>
      <w:r>
        <w:t>Basic capabilities</w:t>
      </w:r>
    </w:p>
    <w:p>
      <w:pPr>
        <w:pStyle w:val="ListBullet"/>
      </w:pPr>
      <w:r>
        <w:t>Availability</w:t>
      </w:r>
    </w:p>
    <w:p>
      <w:pPr>
        <w:pStyle w:val="ListBullet"/>
      </w:pPr>
      <w:r>
        <w:t>Mission eligibility</w:t>
      </w:r>
    </w:p>
    <w:p>
      <w:pPr>
        <w:pStyle w:val="ListBullet"/>
      </w:pPr>
      <w:r>
        <w:t>Performance tracking</w:t>
      </w:r>
    </w:p>
    <w:p>
      <w:pPr>
        <w:pStyle w:val="ListBullet"/>
      </w:pPr>
      <w:r>
        <w:t>Payout profile</w:t>
      </w:r>
    </w:p>
    <w:p>
      <w:pPr>
        <w:pStyle w:val="ListBullet"/>
      </w:pPr>
      <w:r>
        <w:t>Safety/escalation</w:t>
      </w:r>
    </w:p>
    <w:p>
      <w:pPr>
        <w:pStyle w:val="ListBullet"/>
      </w:pPr>
      <w:r>
        <w:t>Ready-now pool</w:t>
      </w:r>
    </w:p>
    <w:p>
      <w:r>
        <w:t>Do not scale the marketplace before these foundations work reliably.</w:t>
      </w:r>
    </w:p>
    <w:p>
      <w:pPr>
        <w:pStyle w:val="Heading1"/>
      </w:pPr>
      <w:r>
        <w:t>50. Long-Term Workforce Vision</w:t>
      </w:r>
    </w:p>
    <w:p>
      <w:r>
        <w:t>FieldForce should eventually have a professional national network of operators who can be deployed by capability and geography within defined SLAs.</w:t>
      </w:r>
    </w:p>
    <w:p>
      <w:r>
        <w:t>The strategic asset is not a list of agents. It is a continuously trained, measured, experienced, trusted, and available workforce.</w:t>
      </w:r>
    </w:p>
    <w:p>
      <w:pPr>
        <w:pStyle w:val="Heading1"/>
      </w:pPr>
      <w:r>
        <w:t>51. Final Operating Principle</w:t>
      </w:r>
    </w:p>
    <w:p>
      <w:r>
        <w:t>A mission should never begin with 'Who can we find?' It should begin with 'Which verified FieldForce operator is best qualified and available?'</w:t>
      </w:r>
    </w:p>
    <w:p>
      <w:r>
        <w:t>The end state is an ASOJU-controlled workforce network that gives ASOJU immediate execution capacity while also creating a professional fieldwork opportunity platform for agents and a scalable service capability for external clients.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FieldForce • Agent Operating System &amp; Workforce Framework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