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Business &amp; Operating Model v1.0</w:t>
      </w:r>
    </w:p>
    <w:p>
      <w:pPr>
        <w:jc w:val="center"/>
      </w:pPr>
      <w:r>
        <w:rPr>
          <w:b/>
        </w:rPr>
        <w:t>ASOJU-controlled • Operationally independent • ASOJU anchor customer • Commercially expandable</w:t>
      </w:r>
    </w:p>
    <w:p>
      <w:r>
        <w:t>Purpose: define how ASOJU FieldForce operates as a specialized workforce business within the ASOJU Group, how it serves ASOJU, how it serves external clients, how agents are managed and paid, and how the business becomes a scalable and measurable operating unit.</w:t>
      </w:r>
    </w:p>
    <w:p>
      <w:pPr>
        <w:pStyle w:val="Heading1"/>
      </w:pPr>
      <w:r>
        <w:t>1. Executive Business Model</w:t>
      </w:r>
    </w:p>
    <w:p>
      <w:r>
        <w:t>ASOJU FieldForce is the physical-execution and workforce business of the ASOJU Group. It exists to maintain a ready pool of verified, trained, experienced field operators who can execute physical tasks for ASOJU and, where capacity and policy permit, external clients.</w:t>
      </w:r>
    </w:p>
    <w:p>
      <w:r>
        <w:t>The strategic relationship is: ASOJU Core owns the customer/case relationship; FieldForce owns and operates the workforce and field-service capability.</w:t>
      </w:r>
    </w:p>
    <w:p>
      <w:r>
        <w:t>FieldForce should be operationally independent enough to run professionally, but strategically controlled by ASOJU Group.</w:t>
      </w:r>
    </w:p>
    <w:p>
      <w:pPr>
        <w:pStyle w:val="Heading1"/>
      </w:pPr>
      <w:r>
        <w:t>2. Strategic Objectives</w:t>
      </w:r>
    </w:p>
    <w:p>
      <w:pPr>
        <w:pStyle w:val="ListBullet"/>
      </w:pPr>
      <w:r>
        <w:t>Ensure ASOJU can access qualified field operators without recruiting from scratch.</w:t>
      </w:r>
    </w:p>
    <w:p>
      <w:pPr>
        <w:pStyle w:val="ListBullet"/>
      </w:pPr>
      <w:r>
        <w:t>Build dense geographic coverage across priority Nigerian locations.</w:t>
      </w:r>
    </w:p>
    <w:p>
      <w:pPr>
        <w:pStyle w:val="ListBullet"/>
      </w:pPr>
      <w:r>
        <w:t>Create standardized field-execution procedures and evidence quality.</w:t>
      </w:r>
    </w:p>
    <w:p>
      <w:pPr>
        <w:pStyle w:val="ListBullet"/>
      </w:pPr>
      <w:r>
        <w:t>Develop experienced agents through repeated, measured fieldwork.</w:t>
      </w:r>
    </w:p>
    <w:p>
      <w:pPr>
        <w:pStyle w:val="ListBullet"/>
      </w:pPr>
      <w:r>
        <w:t>Create a commercially viable field-services business around the same workforce.</w:t>
      </w:r>
    </w:p>
    <w:p>
      <w:pPr>
        <w:pStyle w:val="ListBullet"/>
      </w:pPr>
      <w:r>
        <w:t>Reduce ASOJU execution risk, response time, and workforce-management burden.</w:t>
      </w:r>
    </w:p>
    <w:p>
      <w:pPr>
        <w:pStyle w:val="ListBullet"/>
      </w:pPr>
      <w:r>
        <w:t>Build a defensible workforce asset that becomes more valuable with experience and coverage.</w:t>
      </w:r>
    </w:p>
    <w:p>
      <w:pPr>
        <w:pStyle w:val="Heading1"/>
      </w:pPr>
      <w:r>
        <w:t>3. Organizational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ASOJU Group / Core</w:t>
            </w:r>
          </w:p>
        </w:tc>
        <w:tc>
          <w:tcPr>
            <w:tcW w:type="dxa" w:w="3408"/>
          </w:tcPr>
          <w:p>
            <w:r>
              <w:t>FieldForce</w:t>
            </w:r>
          </w:p>
        </w:tc>
      </w:tr>
      <w:tr>
        <w:tc>
          <w:tcPr>
            <w:tcW w:type="dxa" w:w="3408"/>
          </w:tcPr>
          <w:p>
            <w:r>
              <w:t>Strategic governance</w:t>
            </w:r>
          </w:p>
        </w:tc>
        <w:tc>
          <w:tcPr>
            <w:tcW w:type="dxa" w:w="3408"/>
          </w:tcPr>
          <w:p>
            <w:r>
              <w:t>Owns strategic direction and controls</w:t>
            </w:r>
          </w:p>
        </w:tc>
        <w:tc>
          <w:tcPr>
            <w:tcW w:type="dxa" w:w="3408"/>
          </w:tcPr>
          <w:p>
            <w:r>
              <w:t>Executes approved strategy</w:t>
            </w:r>
          </w:p>
        </w:tc>
      </w:tr>
      <w:tr>
        <w:tc>
          <w:tcPr>
            <w:tcW w:type="dxa" w:w="3408"/>
          </w:tcPr>
          <w:p>
            <w:r>
              <w:t>Customer relationship</w:t>
            </w:r>
          </w:p>
        </w:tc>
        <w:tc>
          <w:tcPr>
            <w:tcW w:type="dxa" w:w="3408"/>
          </w:tcPr>
          <w:p>
            <w:r>
              <w:t>ASOJU diaspora customers</w:t>
            </w:r>
          </w:p>
        </w:tc>
        <w:tc>
          <w:tcPr>
            <w:tcW w:type="dxa" w:w="3408"/>
          </w:tcPr>
          <w:p>
            <w:r>
              <w:t>External FieldForce clients</w:t>
            </w:r>
          </w:p>
        </w:tc>
      </w:tr>
      <w:tr>
        <w:tc>
          <w:tcPr>
            <w:tcW w:type="dxa" w:w="3408"/>
          </w:tcPr>
          <w:p>
            <w:r>
              <w:t>Case management</w:t>
            </w:r>
          </w:p>
        </w:tc>
        <w:tc>
          <w:tcPr>
            <w:tcW w:type="dxa" w:w="3408"/>
          </w:tcPr>
          <w:p>
            <w:r>
              <w:t>Authoritative</w:t>
            </w:r>
          </w:p>
        </w:tc>
        <w:tc>
          <w:tcPr>
            <w:tcW w:type="dxa" w:w="3408"/>
          </w:tcPr>
          <w:p>
            <w:r>
              <w:t>Receives execution requests</w:t>
            </w:r>
          </w:p>
        </w:tc>
      </w:tr>
      <w:tr>
        <w:tc>
          <w:tcPr>
            <w:tcW w:type="dxa" w:w="3408"/>
          </w:tcPr>
          <w:p>
            <w:r>
              <w:t>Workforce</w:t>
            </w:r>
          </w:p>
        </w:tc>
        <w:tc>
          <w:tcPr>
            <w:tcW w:type="dxa" w:w="3408"/>
          </w:tcPr>
          <w:p>
            <w:r>
              <w:t>Consumes capacity</w:t>
            </w:r>
          </w:p>
        </w:tc>
        <w:tc>
          <w:tcPr>
            <w:tcW w:type="dxa" w:w="3408"/>
          </w:tcPr>
          <w:p>
            <w:r>
              <w:t>Recruitment, verification, training, retention</w:t>
            </w:r>
          </w:p>
        </w:tc>
      </w:tr>
      <w:tr>
        <w:tc>
          <w:tcPr>
            <w:tcW w:type="dxa" w:w="3408"/>
          </w:tcPr>
          <w:p>
            <w:r>
              <w:t>Field operations</w:t>
            </w:r>
          </w:p>
        </w:tc>
        <w:tc>
          <w:tcPr>
            <w:tcW w:type="dxa" w:w="3408"/>
          </w:tcPr>
          <w:p>
            <w:r>
              <w:t>Customer/case coordination</w:t>
            </w:r>
          </w:p>
        </w:tc>
        <w:tc>
          <w:tcPr>
            <w:tcW w:type="dxa" w:w="3408"/>
          </w:tcPr>
          <w:p>
            <w:r>
              <w:t>Dispatch, support, mission control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ASOJU customer outcome</w:t>
            </w:r>
          </w:p>
        </w:tc>
        <w:tc>
          <w:tcPr>
            <w:tcW w:type="dxa" w:w="3408"/>
          </w:tcPr>
          <w:p>
            <w:r>
              <w:t>Capture, operational QC, delivery</w:t>
            </w:r>
          </w:p>
        </w:tc>
      </w:tr>
      <w:tr>
        <w:tc>
          <w:tcPr>
            <w:tcW w:type="dxa" w:w="3408"/>
          </w:tcPr>
          <w:p>
            <w:r>
              <w:t>Agent payout</w:t>
            </w:r>
          </w:p>
        </w:tc>
        <w:tc>
          <w:tcPr>
            <w:tcW w:type="dxa" w:w="3408"/>
          </w:tcPr>
          <w:p>
            <w:r>
              <w:t>ASOJU funds/settlement where applicable</w:t>
            </w:r>
          </w:p>
        </w:tc>
        <w:tc>
          <w:tcPr>
            <w:tcW w:type="dxa" w:w="3408"/>
          </w:tcPr>
          <w:p>
            <w:r>
              <w:t>Owns payout process and agent ledger</w:t>
            </w:r>
          </w:p>
        </w:tc>
      </w:tr>
      <w:tr>
        <w:tc>
          <w:tcPr>
            <w:tcW w:type="dxa" w:w="3408"/>
          </w:tcPr>
          <w:p>
            <w:r>
              <w:t>Commercial sales</w:t>
            </w:r>
          </w:p>
        </w:tc>
        <w:tc>
          <w:tcPr>
            <w:tcW w:type="dxa" w:w="3408"/>
          </w:tcPr>
          <w:p>
            <w:r>
              <w:t>Group/ASOJU referrals</w:t>
            </w:r>
          </w:p>
        </w:tc>
        <w:tc>
          <w:tcPr>
            <w:tcW w:type="dxa" w:w="3408"/>
          </w:tcPr>
          <w:p>
            <w:r>
              <w:t>External field-services sales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Group governance</w:t>
            </w:r>
          </w:p>
        </w:tc>
        <w:tc>
          <w:tcPr>
            <w:tcW w:type="dxa" w:w="3408"/>
          </w:tcPr>
          <w:p>
            <w:r>
              <w:t>FieldForce P&amp;L and unit economics</w:t>
            </w:r>
          </w:p>
        </w:tc>
      </w:tr>
    </w:tbl>
    <w:p>
      <w:r>
        <w:t>Recommended leadership: a Head/General Manager of FieldForce with accountability for workforce capacity, operations, quality, agent economics, client service, and FieldForce profitability.</w:t>
      </w:r>
    </w:p>
    <w:p>
      <w:pPr>
        <w:pStyle w:val="Heading1"/>
      </w:pPr>
      <w:r>
        <w:t>4. Governance Model</w:t>
      </w:r>
    </w:p>
    <w:p>
      <w:r>
        <w:t>FieldForce should have its own operating policies and management cadence while remaining subject to ASOJU Group governance.</w:t>
      </w:r>
    </w:p>
    <w:p>
      <w:pPr>
        <w:pStyle w:val="ListBullet"/>
      </w:pPr>
      <w:r>
        <w:t>Monthly FieldForce business review.</w:t>
      </w:r>
    </w:p>
    <w:p>
      <w:pPr>
        <w:pStyle w:val="ListBullet"/>
      </w:pPr>
      <w:r>
        <w:t>Weekly operations review.</w:t>
      </w:r>
    </w:p>
    <w:p>
      <w:pPr>
        <w:pStyle w:val="ListBullet"/>
      </w:pPr>
      <w:r>
        <w:t>Monthly workforce-capacity review.</w:t>
      </w:r>
    </w:p>
    <w:p>
      <w:pPr>
        <w:pStyle w:val="ListBullet"/>
      </w:pPr>
      <w:r>
        <w:t>Quarterly strategy and P&amp;L review.</w:t>
      </w:r>
    </w:p>
    <w:p>
      <w:pPr>
        <w:pStyle w:val="ListBullet"/>
      </w:pPr>
      <w:r>
        <w:t>Defined approval limits for pricing, agent payouts, expenses, recruitment, and client contracts.</w:t>
      </w:r>
    </w:p>
    <w:p>
      <w:pPr>
        <w:pStyle w:val="ListBullet"/>
      </w:pPr>
      <w:r>
        <w:t>Formal incident escalation for safety, fraud, data, or material service failures.</w:t>
      </w:r>
    </w:p>
    <w:p>
      <w:pPr>
        <w:pStyle w:val="Heading1"/>
      </w:pPr>
      <w:r>
        <w:t>5. Agent Engagement Model</w:t>
      </w:r>
    </w:p>
    <w:p>
      <w:r>
        <w:t>The commercial/legal engagement structure should be finalized with Nigerian legal and tax advice, but the operating model should treat agents as a managed professional field-operator network rather than casual anonymous gig workers.</w:t>
      </w:r>
    </w:p>
    <w:p>
      <w:pPr>
        <w:pStyle w:val="ListBullet"/>
      </w:pPr>
      <w:r>
        <w:t>FieldForce identity and onboarding.</w:t>
      </w:r>
    </w:p>
    <w:p>
      <w:pPr>
        <w:pStyle w:val="ListBullet"/>
      </w:pPr>
      <w:r>
        <w:t>KYC/identity verification.</w:t>
      </w:r>
    </w:p>
    <w:p>
      <w:pPr>
        <w:pStyle w:val="ListBullet"/>
      </w:pPr>
      <w:r>
        <w:t>Terms of service/contractor agreement as legally appropriate.</w:t>
      </w:r>
    </w:p>
    <w:p>
      <w:pPr>
        <w:pStyle w:val="ListBullet"/>
      </w:pPr>
      <w:r>
        <w:t>Code of conduct.</w:t>
      </w:r>
    </w:p>
    <w:p>
      <w:pPr>
        <w:pStyle w:val="ListBullet"/>
      </w:pPr>
      <w:r>
        <w:t>Confidentiality and data-handling obligations.</w:t>
      </w:r>
    </w:p>
    <w:p>
      <w:pPr>
        <w:pStyle w:val="ListBullet"/>
      </w:pPr>
      <w:r>
        <w:t>Service standards.</w:t>
      </w:r>
    </w:p>
    <w:p>
      <w:pPr>
        <w:pStyle w:val="ListBullet"/>
      </w:pPr>
      <w:r>
        <w:t>Evidence standards.</w:t>
      </w:r>
    </w:p>
    <w:p>
      <w:pPr>
        <w:pStyle w:val="ListBullet"/>
      </w:pPr>
      <w:r>
        <w:t>Safety requirements.</w:t>
      </w:r>
    </w:p>
    <w:p>
      <w:pPr>
        <w:pStyle w:val="ListBullet"/>
      </w:pPr>
      <w:r>
        <w:t>Payment terms.</w:t>
      </w:r>
    </w:p>
    <w:p>
      <w:pPr>
        <w:pStyle w:val="ListBullet"/>
      </w:pPr>
      <w:r>
        <w:t>Performance and suspension rules.</w:t>
      </w:r>
    </w:p>
    <w:p>
      <w:r>
        <w:t>Agents should not need separate accounts for each client.</w:t>
      </w:r>
    </w:p>
    <w:p>
      <w:pPr>
        <w:pStyle w:val="Heading1"/>
      </w:pPr>
      <w:r>
        <w:t>6. Agent Recruitment Strategy</w:t>
      </w:r>
    </w:p>
    <w:p>
      <w:r>
        <w:t>Recruit for coverage and capability, not simply headcount.</w:t>
      </w:r>
    </w:p>
    <w:p>
      <w:pPr>
        <w:pStyle w:val="ListBullet"/>
      </w:pPr>
      <w:r>
        <w:t>Target priority LGAs and cities.</w:t>
      </w:r>
    </w:p>
    <w:p>
      <w:pPr>
        <w:pStyle w:val="ListBullet"/>
      </w:pPr>
      <w:r>
        <w:t>Recruit people with local knowledge and reliable mobility.</w:t>
      </w:r>
    </w:p>
    <w:p>
      <w:pPr>
        <w:pStyle w:val="ListBullet"/>
      </w:pPr>
      <w:r>
        <w:t>Recruit specialists for property, documents, business verification, construction, inventory, and other service lines.</w:t>
      </w:r>
    </w:p>
    <w:p>
      <w:pPr>
        <w:pStyle w:val="ListBullet"/>
      </w:pPr>
      <w:r>
        <w:t>Use referrals and proven-agent referrals to grow the network.</w:t>
      </w:r>
    </w:p>
    <w:p>
      <w:pPr>
        <w:pStyle w:val="ListBullet"/>
      </w:pPr>
      <w:r>
        <w:t>Maintain a reserve pipeline for high-demand locations.</w:t>
      </w:r>
    </w:p>
    <w:p>
      <w:r>
        <w:t>A registration count is not a useful workforce metric unless the agents are verified, active, qualified, and deployable.</w:t>
      </w:r>
    </w:p>
    <w:p>
      <w:pPr>
        <w:pStyle w:val="Heading1"/>
      </w:pPr>
      <w:r>
        <w:t>7. Verification &amp; KYC</w:t>
      </w:r>
    </w:p>
    <w:p>
      <w:r>
        <w:t>Every agent must pass a defined verification process before receiving eligible missions.</w:t>
      </w:r>
    </w:p>
    <w:p>
      <w:pPr>
        <w:pStyle w:val="ListBullet"/>
      </w:pPr>
      <w:r>
        <w:t>Identity verification.</w:t>
      </w:r>
    </w:p>
    <w:p>
      <w:pPr>
        <w:pStyle w:val="ListBullet"/>
      </w:pPr>
      <w:r>
        <w:t>Phone/email verification.</w:t>
      </w:r>
    </w:p>
    <w:p>
      <w:pPr>
        <w:pStyle w:val="ListBullet"/>
      </w:pPr>
      <w:r>
        <w:t>Bank/payout verification.</w:t>
      </w:r>
    </w:p>
    <w:p>
      <w:pPr>
        <w:pStyle w:val="ListBullet"/>
      </w:pPr>
      <w:r>
        <w:t>Address/location information.</w:t>
      </w:r>
    </w:p>
    <w:p>
      <w:pPr>
        <w:pStyle w:val="ListBullet"/>
      </w:pPr>
      <w:r>
        <w:t>Selfie or approved identity matching where required.</w:t>
      </w:r>
    </w:p>
    <w:p>
      <w:pPr>
        <w:pStyle w:val="ListBullet"/>
      </w:pPr>
      <w:r>
        <w:t>Background checks where legally and commercially appropriate.</w:t>
      </w:r>
    </w:p>
    <w:p>
      <w:pPr>
        <w:pStyle w:val="ListBullet"/>
      </w:pPr>
      <w:r>
        <w:t>Reference or experience checks for higher-risk capabilities.</w:t>
      </w:r>
    </w:p>
    <w:p>
      <w:pPr>
        <w:pStyle w:val="ListBullet"/>
      </w:pPr>
      <w:r>
        <w:t>Device trust registration.</w:t>
      </w:r>
    </w:p>
    <w:p>
      <w:r>
        <w:t>Verification levels can be Starter Verified, Fully Verified, and Specialist Verified depending on service risk.</w:t>
      </w:r>
    </w:p>
    <w:p>
      <w:pPr>
        <w:pStyle w:val="Heading1"/>
      </w:pPr>
      <w:r>
        <w:t>8. Training &amp;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Level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Access</w:t>
            </w:r>
          </w:p>
        </w:tc>
      </w:tr>
      <w:tr>
        <w:tc>
          <w:tcPr>
            <w:tcW w:type="dxa" w:w="3408"/>
          </w:tcPr>
          <w:p>
            <w:r>
              <w:t>Core</w:t>
            </w:r>
          </w:p>
        </w:tc>
        <w:tc>
          <w:tcPr>
            <w:tcW w:type="dxa" w:w="3408"/>
          </w:tcPr>
          <w:p>
            <w:r>
              <w:t>FieldForce onboarding, safety, evidence, privacy</w:t>
            </w:r>
          </w:p>
        </w:tc>
        <w:tc>
          <w:tcPr>
            <w:tcW w:type="dxa" w:w="3408"/>
          </w:tcPr>
          <w:p>
            <w:r>
              <w:t>Standard eligible missions</w:t>
            </w:r>
          </w:p>
        </w:tc>
      </w:tr>
      <w:tr>
        <w:tc>
          <w:tcPr>
            <w:tcW w:type="dxa" w:w="3408"/>
          </w:tcPr>
          <w:p>
            <w:r>
              <w:t>Capability</w:t>
            </w:r>
          </w:p>
        </w:tc>
        <w:tc>
          <w:tcPr>
            <w:tcW w:type="dxa" w:w="3408"/>
          </w:tcPr>
          <w:p>
            <w:r>
              <w:t>Service-specific training</w:t>
            </w:r>
          </w:p>
        </w:tc>
        <w:tc>
          <w:tcPr>
            <w:tcW w:type="dxa" w:w="3408"/>
          </w:tcPr>
          <w:p>
            <w:r>
              <w:t>Relevant service missions</w:t>
            </w:r>
          </w:p>
        </w:tc>
      </w:tr>
      <w:tr>
        <w:tc>
          <w:tcPr>
            <w:tcW w:type="dxa" w:w="3408"/>
          </w:tcPr>
          <w:p>
            <w:r>
              <w:t>Specialist</w:t>
            </w:r>
          </w:p>
        </w:tc>
        <w:tc>
          <w:tcPr>
            <w:tcW w:type="dxa" w:w="3408"/>
          </w:tcPr>
          <w:p>
            <w:r>
              <w:t>Assessment/certification</w:t>
            </w:r>
          </w:p>
        </w:tc>
        <w:tc>
          <w:tcPr>
            <w:tcW w:type="dxa" w:w="3408"/>
          </w:tcPr>
          <w:p>
            <w:r>
              <w:t>Higher-risk or specialist missions</w:t>
            </w:r>
          </w:p>
        </w:tc>
      </w:tr>
      <w:tr>
        <w:tc>
          <w:tcPr>
            <w:tcW w:type="dxa" w:w="3408"/>
          </w:tcPr>
          <w:p>
            <w:r>
              <w:t>Advanced</w:t>
            </w:r>
          </w:p>
        </w:tc>
        <w:tc>
          <w:tcPr>
            <w:tcW w:type="dxa" w:w="3408"/>
          </w:tcPr>
          <w:p>
            <w:r>
              <w:t>Demonstrated experience and strong QC</w:t>
            </w:r>
          </w:p>
        </w:tc>
        <w:tc>
          <w:tcPr>
            <w:tcW w:type="dxa" w:w="3408"/>
          </w:tcPr>
          <w:p>
            <w:r>
              <w:t>Priority/high-value work</w:t>
            </w:r>
          </w:p>
        </w:tc>
      </w:tr>
    </w:tbl>
    <w:p>
      <w:r>
        <w:t>Training should be continuously improved from QC failures, escalations, safety incidents, and client feedback.</w:t>
      </w:r>
    </w:p>
    <w:p>
      <w:pPr>
        <w:pStyle w:val="Heading1"/>
      </w:pPr>
      <w:r>
        <w:t>9. Workforce Reserve Strategy</w:t>
      </w:r>
    </w:p>
    <w:p>
      <w:r>
        <w:t>FieldForce should maintain a minimum deployable workforce reserve for strategic ASOJU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Coverage dimension</w:t>
            </w:r>
          </w:p>
        </w:tc>
        <w:tc>
          <w:tcPr>
            <w:tcW w:type="dxa" w:w="5112"/>
          </w:tcPr>
          <w:p>
            <w:r>
              <w:t>Example control</w:t>
            </w:r>
          </w:p>
        </w:tc>
      </w:tr>
      <w:tr>
        <w:tc>
          <w:tcPr>
            <w:tcW w:type="dxa" w:w="5112"/>
          </w:tcPr>
          <w:p>
            <w:r>
              <w:t>Geography</w:t>
            </w:r>
          </w:p>
        </w:tc>
        <w:tc>
          <w:tcPr>
            <w:tcW w:type="dxa" w:w="5112"/>
          </w:tcPr>
          <w:p>
            <w:r>
              <w:t>Minimum qualified operators per priority LGA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Minimum property-inspection capacity</w:t>
            </w:r>
          </w:p>
        </w:tc>
      </w:tr>
      <w:tr>
        <w:tc>
          <w:tcPr>
            <w:tcW w:type="dxa" w:w="5112"/>
          </w:tcPr>
          <w:p>
            <w:r>
              <w:t>Tier</w:t>
            </w:r>
          </w:p>
        </w:tc>
        <w:tc>
          <w:tcPr>
            <w:tcW w:type="dxa" w:w="5112"/>
          </w:tcPr>
          <w:p>
            <w:r>
              <w:t>Minimum Pro/Elite availability for sensitive missions</w:t>
            </w:r>
          </w:p>
        </w:tc>
      </w:tr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Minimum same-day/urgent capacity</w:t>
            </w:r>
          </w:p>
        </w:tc>
      </w:tr>
      <w:tr>
        <w:tc>
          <w:tcPr>
            <w:tcW w:type="dxa" w:w="5112"/>
          </w:tcPr>
          <w:p>
            <w:r>
              <w:t>Redundancy</w:t>
            </w:r>
          </w:p>
        </w:tc>
        <w:tc>
          <w:tcPr>
            <w:tcW w:type="dxa" w:w="5112"/>
          </w:tcPr>
          <w:p>
            <w:r>
              <w:t>At least multiple qualified operators in critical areas</w:t>
            </w:r>
          </w:p>
        </w:tc>
      </w:tr>
    </w:tbl>
    <w:p>
      <w:r>
        <w:t>When reserve falls below threshold, Operations triggers recruitment, training, certification, or geographic expansion.</w:t>
      </w:r>
    </w:p>
    <w:p>
      <w:pPr>
        <w:pStyle w:val="Heading1"/>
      </w:pPr>
      <w:r>
        <w:t>10. ASOJU Internal Service Model</w:t>
      </w:r>
    </w:p>
    <w:p>
      <w:r>
        <w:t>ASOJU should consume FieldForce through a formal internal service relationship rather than informal requests.</w:t>
      </w:r>
    </w:p>
    <w:p>
      <w:pPr>
        <w:pStyle w:val="ListNumber"/>
      </w:pPr>
      <w:r>
        <w:t>ASOJU creates a structured field-execution request.</w:t>
      </w:r>
    </w:p>
    <w:p>
      <w:pPr>
        <w:pStyle w:val="ListNumber"/>
      </w:pPr>
      <w:r>
        <w:t>FieldForce validates scope and feasibility.</w:t>
      </w:r>
    </w:p>
    <w:p>
      <w:pPr>
        <w:pStyle w:val="ListNumber"/>
      </w:pPr>
      <w:r>
        <w:t>FieldForce confirms capacity and service SLA.</w:t>
      </w:r>
    </w:p>
    <w:p>
      <w:pPr>
        <w:pStyle w:val="ListNumber"/>
      </w:pPr>
      <w:r>
        <w:t>Qualified agent is matched/assigned.</w:t>
      </w:r>
    </w:p>
    <w:p>
      <w:pPr>
        <w:pStyle w:val="ListNumber"/>
      </w:pPr>
      <w:r>
        <w:t>Mission is executed.</w:t>
      </w:r>
    </w:p>
    <w:p>
      <w:pPr>
        <w:pStyle w:val="ListNumber"/>
      </w:pPr>
      <w:r>
        <w:t>Evidence and operational result are QC-processed.</w:t>
      </w:r>
    </w:p>
    <w:p>
      <w:pPr>
        <w:pStyle w:val="ListNumber"/>
      </w:pPr>
      <w:r>
        <w:t>FieldForce returns the agreed result to ASOJU.</w:t>
      </w:r>
    </w:p>
    <w:p>
      <w:pPr>
        <w:pStyle w:val="ListNumber"/>
      </w:pPr>
      <w:r>
        <w:t>Agent payout and FieldForce cost are recorded.</w:t>
      </w:r>
    </w:p>
    <w:p>
      <w:pPr>
        <w:pStyle w:val="ListNumber"/>
      </w:pPr>
      <w:r>
        <w:t>ASOJU completes the customer-facing case.</w:t>
      </w:r>
    </w:p>
    <w:p>
      <w:r>
        <w:t>This creates accountability on both sides.</w:t>
      </w:r>
    </w:p>
    <w:p>
      <w:pPr>
        <w:pStyle w:val="Heading1"/>
      </w:pPr>
      <w:r>
        <w:t>11. ASOJU Priority Policy</w:t>
      </w:r>
    </w:p>
    <w:p>
      <w:r>
        <w:t>Because ASOJU is the anchor customer, FieldForce should reserve agreed capacity for ASOJU. Priority should be based on explicit service-level rules rather than informal favoritism.</w:t>
      </w:r>
    </w:p>
    <w:p>
      <w:pPr>
        <w:pStyle w:val="ListBullet"/>
      </w:pPr>
      <w:r>
        <w:t>Critical ASOJU customer commitments receive protected capacity.</w:t>
      </w:r>
    </w:p>
    <w:p>
      <w:pPr>
        <w:pStyle w:val="ListBullet"/>
      </w:pPr>
      <w:r>
        <w:t>External client commitments must be accepted only when compatible with reserve requirements.</w:t>
      </w:r>
    </w:p>
    <w:p>
      <w:pPr>
        <w:pStyle w:val="ListBullet"/>
      </w:pPr>
      <w:r>
        <w:t>Capacity conflicts are resolved using documented priority rules.</w:t>
      </w:r>
    </w:p>
    <w:p>
      <w:pPr>
        <w:pStyle w:val="ListBullet"/>
      </w:pPr>
      <w:r>
        <w:t>Operations must be able to see reserved versus commercially available capacity.</w:t>
      </w:r>
    </w:p>
    <w:p>
      <w:pPr>
        <w:pStyle w:val="Heading1"/>
      </w:pPr>
      <w:r>
        <w:t>12. External Client Model</w:t>
      </w:r>
    </w:p>
    <w:p>
      <w:r>
        <w:t>FieldForce can sell standardized field services to external businesses once the ASOJU operating model is stable.</w:t>
      </w:r>
    </w:p>
    <w:p>
      <w:pPr>
        <w:pStyle w:val="ListBullet"/>
      </w:pPr>
      <w:r>
        <w:t>Client onboarding and organization verification.</w:t>
      </w:r>
    </w:p>
    <w:p>
      <w:pPr>
        <w:pStyle w:val="ListBullet"/>
      </w:pPr>
      <w:r>
        <w:t>Service catalog selection.</w:t>
      </w:r>
    </w:p>
    <w:p>
      <w:pPr>
        <w:pStyle w:val="ListBullet"/>
      </w:pPr>
      <w:r>
        <w:t>Request submission.</w:t>
      </w:r>
    </w:p>
    <w:p>
      <w:pPr>
        <w:pStyle w:val="ListBullet"/>
      </w:pPr>
      <w:r>
        <w:t>Quote/pricing confirmation.</w:t>
      </w:r>
    </w:p>
    <w:p>
      <w:pPr>
        <w:pStyle w:val="ListBullet"/>
      </w:pPr>
      <w:r>
        <w:t>SLA agreement.</w:t>
      </w:r>
    </w:p>
    <w:p>
      <w:pPr>
        <w:pStyle w:val="ListBullet"/>
      </w:pPr>
      <w:r>
        <w:t>Mission execution.</w:t>
      </w:r>
    </w:p>
    <w:p>
      <w:pPr>
        <w:pStyle w:val="ListBullet"/>
      </w:pPr>
      <w:r>
        <w:t>Evidence/result delivery.</w:t>
      </w:r>
    </w:p>
    <w:p>
      <w:pPr>
        <w:pStyle w:val="ListBullet"/>
      </w:pPr>
      <w:r>
        <w:t>Billing.</w:t>
      </w:r>
    </w:p>
    <w:p>
      <w:pPr>
        <w:pStyle w:val="ListBullet"/>
      </w:pPr>
      <w:r>
        <w:t>Performance reporting.</w:t>
      </w:r>
    </w:p>
    <w:p>
      <w:r>
        <w:t>External clients should not gain access to ASOJU data or the internal details of other clients.</w:t>
      </w:r>
    </w:p>
    <w:p>
      <w:pPr>
        <w:pStyle w:val="Heading1"/>
      </w:pPr>
      <w:r>
        <w:t>13. Service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Typical deliverable</w:t>
            </w:r>
          </w:p>
        </w:tc>
      </w:tr>
      <w:tr>
        <w:tc>
          <w:tcPr>
            <w:tcW w:type="dxa" w:w="5112"/>
          </w:tcPr>
          <w:p>
            <w:r>
              <w:t>Property inspection</w:t>
            </w:r>
          </w:p>
        </w:tc>
        <w:tc>
          <w:tcPr>
            <w:tcW w:type="dxa" w:w="5112"/>
          </w:tcPr>
          <w:p>
            <w:r>
              <w:t>Structured inspection report + geo/time evidence + photographs</w:t>
            </w:r>
          </w:p>
        </w:tc>
      </w:tr>
      <w:tr>
        <w:tc>
          <w:tcPr>
            <w:tcW w:type="dxa" w:w="5112"/>
          </w:tcPr>
          <w:p>
            <w:r>
              <w:t>Property verification</w:t>
            </w:r>
          </w:p>
        </w:tc>
        <w:tc>
          <w:tcPr>
            <w:tcW w:type="dxa" w:w="5112"/>
          </w:tcPr>
          <w:p>
            <w:r>
              <w:t>Existence/location/status evidence</w:t>
            </w:r>
          </w:p>
        </w:tc>
      </w:tr>
      <w:tr>
        <w:tc>
          <w:tcPr>
            <w:tcW w:type="dxa" w:w="5112"/>
          </w:tcPr>
          <w:p>
            <w:r>
              <w:t>Document retrieval</w:t>
            </w:r>
          </w:p>
        </w:tc>
        <w:tc>
          <w:tcPr>
            <w:tcW w:type="dxa" w:w="5112"/>
          </w:tcPr>
          <w:p>
            <w:r>
              <w:t>Retrieved document/package with chain of custody</w:t>
            </w:r>
          </w:p>
        </w:tc>
      </w:tr>
      <w:tr>
        <w:tc>
          <w:tcPr>
            <w:tcW w:type="dxa" w:w="5112"/>
          </w:tcPr>
          <w:p>
            <w:r>
              <w:t>Business verification</w:t>
            </w:r>
          </w:p>
        </w:tc>
        <w:tc>
          <w:tcPr>
            <w:tcW w:type="dxa" w:w="5112"/>
          </w:tcPr>
          <w:p>
            <w:r>
              <w:t>Physical presence/address/business evidence</w:t>
            </w:r>
          </w:p>
        </w:tc>
      </w:tr>
      <w:tr>
        <w:tc>
          <w:tcPr>
            <w:tcW w:type="dxa" w:w="5112"/>
          </w:tcPr>
          <w:p>
            <w:r>
              <w:t>Asset verification</w:t>
            </w:r>
          </w:p>
        </w:tc>
        <w:tc>
          <w:tcPr>
            <w:tcW w:type="dxa" w:w="5112"/>
          </w:tcPr>
          <w:p>
            <w:r>
              <w:t>Presence/condition/location evidence</w:t>
            </w:r>
          </w:p>
        </w:tc>
      </w:tr>
      <w:tr>
        <w:tc>
          <w:tcPr>
            <w:tcW w:type="dxa" w:w="5112"/>
          </w:tcPr>
          <w:p>
            <w:r>
              <w:t>Government-office visit</w:t>
            </w:r>
          </w:p>
        </w:tc>
        <w:tc>
          <w:tcPr>
            <w:tcW w:type="dxa" w:w="5112"/>
          </w:tcPr>
          <w:p>
            <w:r>
              <w:t>Visit outcome + permitted evidence</w:t>
            </w:r>
          </w:p>
        </w:tc>
      </w:tr>
      <w:tr>
        <w:tc>
          <w:tcPr>
            <w:tcW w:type="dxa" w:w="5112"/>
          </w:tcPr>
          <w:p>
            <w:r>
              <w:t>Construction inspection</w:t>
            </w:r>
          </w:p>
        </w:tc>
        <w:tc>
          <w:tcPr>
            <w:tcW w:type="dxa" w:w="5112"/>
          </w:tcPr>
          <w:p>
            <w:r>
              <w:t>Progress evidence + structured checklist</w:t>
            </w:r>
          </w:p>
        </w:tc>
      </w:tr>
      <w:tr>
        <w:tc>
          <w:tcPr>
            <w:tcW w:type="dxa" w:w="5112"/>
          </w:tcPr>
          <w:p>
            <w:r>
              <w:t>Inventory verification</w:t>
            </w:r>
          </w:p>
        </w:tc>
        <w:tc>
          <w:tcPr>
            <w:tcW w:type="dxa" w:w="5112"/>
          </w:tcPr>
          <w:p>
            <w:r>
              <w:t>Count/condition evidence</w:t>
            </w:r>
          </w:p>
        </w:tc>
      </w:tr>
      <w:tr>
        <w:tc>
          <w:tcPr>
            <w:tcW w:type="dxa" w:w="5112"/>
          </w:tcPr>
          <w:p>
            <w:r>
              <w:t>Site supervision</w:t>
            </w:r>
          </w:p>
        </w:tc>
        <w:tc>
          <w:tcPr>
            <w:tcW w:type="dxa" w:w="5112"/>
          </w:tcPr>
          <w:p>
            <w:r>
              <w:t>Scheduled progress/observation reports</w:t>
            </w:r>
          </w:p>
        </w:tc>
      </w:tr>
      <w:tr>
        <w:tc>
          <w:tcPr>
            <w:tcW w:type="dxa" w:w="5112"/>
          </w:tcPr>
          <w:p>
            <w:r>
              <w:t>Custom mission</w:t>
            </w:r>
          </w:p>
        </w:tc>
        <w:tc>
          <w:tcPr>
            <w:tcW w:type="dxa" w:w="5112"/>
          </w:tcPr>
          <w:p>
            <w:r>
              <w:t>Defined scope, SLA, evidence, QC</w:t>
            </w:r>
          </w:p>
        </w:tc>
      </w:tr>
    </w:tbl>
    <w:p>
      <w:pPr>
        <w:pStyle w:val="Heading1"/>
      </w:pPr>
      <w:r>
        <w:t>14. Service Definition Standard</w:t>
      </w:r>
    </w:p>
    <w:p>
      <w:r>
        <w:t>Every service must have a standardized service card containing:</w:t>
      </w:r>
    </w:p>
    <w:p>
      <w:pPr>
        <w:pStyle w:val="ListBullet"/>
      </w:pPr>
      <w:r>
        <w:t>Service description.</w:t>
      </w:r>
    </w:p>
    <w:p>
      <w:pPr>
        <w:pStyle w:val="ListBullet"/>
      </w:pPr>
      <w:r>
        <w:t>Inclusions.</w:t>
      </w:r>
    </w:p>
    <w:p>
      <w:pPr>
        <w:pStyle w:val="ListBullet"/>
      </w:pPr>
      <w:r>
        <w:t>Exclusions.</w:t>
      </w:r>
    </w:p>
    <w:p>
      <w:pPr>
        <w:pStyle w:val="ListBullet"/>
      </w:pPr>
      <w:r>
        <w:t>Required capability.</w:t>
      </w:r>
    </w:p>
    <w:p>
      <w:pPr>
        <w:pStyle w:val="ListBullet"/>
      </w:pPr>
      <w:r>
        <w:t>Required certification.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Expected duration.</w:t>
      </w:r>
    </w:p>
    <w:p>
      <w:pPr>
        <w:pStyle w:val="ListBullet"/>
      </w:pPr>
      <w:r>
        <w:t>Geographic limits.</w:t>
      </w:r>
    </w:p>
    <w:p>
      <w:pPr>
        <w:pStyle w:val="ListBullet"/>
      </w:pPr>
      <w:r>
        <w:t>SLA options.</w:t>
      </w:r>
    </w:p>
    <w:p>
      <w:pPr>
        <w:pStyle w:val="ListBullet"/>
      </w:pPr>
      <w:r>
        <w:t>Agent payout rule.</w:t>
      </w:r>
    </w:p>
    <w:p>
      <w:pPr>
        <w:pStyle w:val="ListBullet"/>
      </w:pPr>
      <w:r>
        <w:t>Expense policy.</w:t>
      </w:r>
    </w:p>
    <w:p>
      <w:pPr>
        <w:pStyle w:val="ListBullet"/>
      </w:pPr>
      <w:r>
        <w:t>QC rules.</w:t>
      </w:r>
    </w:p>
    <w:p>
      <w:pPr>
        <w:pStyle w:val="ListBullet"/>
      </w:pPr>
      <w:r>
        <w:t>Client deliverable.</w:t>
      </w:r>
    </w:p>
    <w:p>
      <w:pPr>
        <w:pStyle w:val="Heading1"/>
      </w:pPr>
      <w:r>
        <w:t>15. Request Acceptance Rules</w:t>
      </w:r>
    </w:p>
    <w:p>
      <w:r>
        <w:t>FieldForce should not accept work merely because an agent exists.</w:t>
      </w:r>
    </w:p>
    <w:p>
      <w:pPr>
        <w:pStyle w:val="ListBullet"/>
      </w:pPr>
      <w:r>
        <w:t>Scope must be clear.</w:t>
      </w:r>
    </w:p>
    <w:p>
      <w:pPr>
        <w:pStyle w:val="ListBullet"/>
      </w:pPr>
      <w:r>
        <w:t>Required evidence must be achievable.</w:t>
      </w:r>
    </w:p>
    <w:p>
      <w:pPr>
        <w:pStyle w:val="ListBullet"/>
      </w:pPr>
      <w:r>
        <w:t>Location must be serviceable.</w:t>
      </w:r>
    </w:p>
    <w:p>
      <w:pPr>
        <w:pStyle w:val="ListBullet"/>
      </w:pPr>
      <w:r>
        <w:t>Qualified capacity must exist.</w:t>
      </w:r>
    </w:p>
    <w:p>
      <w:pPr>
        <w:pStyle w:val="ListBullet"/>
      </w:pPr>
      <w:r>
        <w:t>SLA must be realistic.</w:t>
      </w:r>
    </w:p>
    <w:p>
      <w:pPr>
        <w:pStyle w:val="ListBullet"/>
      </w:pPr>
      <w:r>
        <w:t>Safety/risk must be acceptable.</w:t>
      </w:r>
    </w:p>
    <w:p>
      <w:pPr>
        <w:pStyle w:val="ListBullet"/>
      </w:pPr>
      <w:r>
        <w:t>Pricing must cover expected operating cost and margin.</w:t>
      </w:r>
    </w:p>
    <w:p>
      <w:pPr>
        <w:pStyle w:val="ListBullet"/>
      </w:pPr>
      <w:r>
        <w:t>Client terms must be acceptable.</w:t>
      </w:r>
    </w:p>
    <w:p>
      <w:pPr>
        <w:pStyle w:val="Heading1"/>
      </w:pPr>
      <w:r>
        <w:t>16. Pricing Model</w:t>
      </w:r>
    </w:p>
    <w:p>
      <w:r>
        <w:t>Use a layered pricing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Base service price</w:t>
            </w:r>
          </w:p>
        </w:tc>
        <w:tc>
          <w:tcPr>
            <w:tcW w:type="dxa" w:w="5112"/>
          </w:tcPr>
          <w:p>
            <w:r>
              <w:t>Standard cost of service</w:t>
            </w:r>
          </w:p>
        </w:tc>
      </w:tr>
      <w:tr>
        <w:tc>
          <w:tcPr>
            <w:tcW w:type="dxa" w:w="5112"/>
          </w:tcPr>
          <w:p>
            <w:r>
              <w:t>Location adjustment</w:t>
            </w:r>
          </w:p>
        </w:tc>
        <w:tc>
          <w:tcPr>
            <w:tcW w:type="dxa" w:w="5112"/>
          </w:tcPr>
          <w:p>
            <w:r>
              <w:t>Travel/geographic complexity</w:t>
            </w:r>
          </w:p>
        </w:tc>
      </w:tr>
      <w:tr>
        <w:tc>
          <w:tcPr>
            <w:tcW w:type="dxa" w:w="5112"/>
          </w:tcPr>
          <w:p>
            <w:r>
              <w:t>Urgency premium</w:t>
            </w:r>
          </w:p>
        </w:tc>
        <w:tc>
          <w:tcPr>
            <w:tcW w:type="dxa" w:w="5112"/>
          </w:tcPr>
          <w:p>
            <w:r>
              <w:t>Short SLA or same-day work</w:t>
            </w:r>
          </w:p>
        </w:tc>
      </w:tr>
      <w:tr>
        <w:tc>
          <w:tcPr>
            <w:tcW w:type="dxa" w:w="5112"/>
          </w:tcPr>
          <w:p>
            <w:r>
              <w:t>Complexity premium</w:t>
            </w:r>
          </w:p>
        </w:tc>
        <w:tc>
          <w:tcPr>
            <w:tcW w:type="dxa" w:w="5112"/>
          </w:tcPr>
          <w:p>
            <w:r>
              <w:t>Additional time/evidence</w:t>
            </w:r>
          </w:p>
        </w:tc>
      </w:tr>
      <w:tr>
        <w:tc>
          <w:tcPr>
            <w:tcW w:type="dxa" w:w="5112"/>
          </w:tcPr>
          <w:p>
            <w:r>
              <w:t>Specialist premium</w:t>
            </w:r>
          </w:p>
        </w:tc>
        <w:tc>
          <w:tcPr>
            <w:tcW w:type="dxa" w:w="5112"/>
          </w:tcPr>
          <w:p>
            <w:r>
              <w:t>Certified/specialist operator</w:t>
            </w:r>
          </w:p>
        </w:tc>
      </w:tr>
      <w:tr>
        <w:tc>
          <w:tcPr>
            <w:tcW w:type="dxa" w:w="5112"/>
          </w:tcPr>
          <w:p>
            <w:r>
              <w:t>Approved expenses</w:t>
            </w:r>
          </w:p>
        </w:tc>
        <w:tc>
          <w:tcPr>
            <w:tcW w:type="dxa" w:w="5112"/>
          </w:tcPr>
          <w:p>
            <w:r>
              <w:t>Pass-through or controlled reimbursement</w:t>
            </w:r>
          </w:p>
        </w:tc>
      </w:tr>
      <w:tr>
        <w:tc>
          <w:tcPr>
            <w:tcW w:type="dxa" w:w="5112"/>
          </w:tcPr>
          <w:p>
            <w:r>
              <w:t>Enterprise pricing</w:t>
            </w:r>
          </w:p>
        </w:tc>
        <w:tc>
          <w:tcPr>
            <w:tcW w:type="dxa" w:w="5112"/>
          </w:tcPr>
          <w:p>
            <w:r>
              <w:t>Contracted volume/SLAs</w:t>
            </w:r>
          </w:p>
        </w:tc>
      </w:tr>
    </w:tbl>
    <w:p>
      <w:r>
        <w:t>Pricing should be designed from target agent payout + operating cost + risk allowance + target FieldForce contribution, rather than arbitrarily setting a client price.</w:t>
      </w:r>
    </w:p>
    <w:p>
      <w:pPr>
        <w:pStyle w:val="Heading1"/>
      </w:pPr>
      <w:r>
        <w:t>17. Agent Payout Model</w:t>
      </w:r>
    </w:p>
    <w:p>
      <w:r>
        <w:t>Agent payout should be predictable and understandable.</w:t>
      </w:r>
    </w:p>
    <w:p>
      <w:pPr>
        <w:pStyle w:val="ListBullet"/>
      </w:pPr>
      <w:r>
        <w:t>Base payout by service.</w:t>
      </w:r>
    </w:p>
    <w:p>
      <w:pPr>
        <w:pStyle w:val="ListBullet"/>
      </w:pPr>
      <w:r>
        <w:t>Location/travel adjustment where applicable.</w:t>
      </w:r>
    </w:p>
    <w:p>
      <w:pPr>
        <w:pStyle w:val="ListBullet"/>
      </w:pPr>
      <w:r>
        <w:t>Urgency premium where applicable.</w:t>
      </w:r>
    </w:p>
    <w:p>
      <w:pPr>
        <w:pStyle w:val="ListBullet"/>
      </w:pPr>
      <w:r>
        <w:t>Approved expense reimbursement.</w:t>
      </w:r>
    </w:p>
    <w:p>
      <w:pPr>
        <w:pStyle w:val="ListBullet"/>
      </w:pPr>
      <w:r>
        <w:t>Specialist premium where applicable.</w:t>
      </w:r>
    </w:p>
    <w:p>
      <w:pPr>
        <w:pStyle w:val="ListBullet"/>
      </w:pPr>
      <w:r>
        <w:t>Rework payment rules.</w:t>
      </w:r>
    </w:p>
    <w:p>
      <w:pPr>
        <w:pStyle w:val="ListBullet"/>
      </w:pPr>
      <w:r>
        <w:t>Cancellation/no-show rules.</w:t>
      </w:r>
    </w:p>
    <w:p>
      <w:r>
        <w:t>The agent should know the payout terms before accepting the mission whenever practical.</w:t>
      </w:r>
    </w:p>
    <w:p>
      <w:pPr>
        <w:pStyle w:val="Heading1"/>
      </w:pPr>
      <w:r>
        <w:t>18. FieldForce Unit Economics</w:t>
      </w:r>
    </w:p>
    <w:p>
      <w:r>
        <w:t>Track unit economics per 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 concept</w:t>
            </w:r>
          </w:p>
        </w:tc>
      </w:tr>
      <w:tr>
        <w:tc>
          <w:tcPr>
            <w:tcW w:type="dxa" w:w="5112"/>
          </w:tcPr>
          <w:p>
            <w:r>
              <w:t>Client revenue</w:t>
            </w:r>
          </w:p>
        </w:tc>
        <w:tc>
          <w:tcPr>
            <w:tcW w:type="dxa" w:w="5112"/>
          </w:tcPr>
          <w:p>
            <w:r>
              <w:t>Amount billed/recognized for mission</w:t>
            </w:r>
          </w:p>
        </w:tc>
      </w:tr>
      <w:tr>
        <w:tc>
          <w:tcPr>
            <w:tcW w:type="dxa" w:w="5112"/>
          </w:tcPr>
          <w:p>
            <w:r>
              <w:t>Agent direct cost</w:t>
            </w:r>
          </w:p>
        </w:tc>
        <w:tc>
          <w:tcPr>
            <w:tcW w:type="dxa" w:w="5112"/>
          </w:tcPr>
          <w:p>
            <w:r>
              <w:t>Agent payout + approved field cost</w:t>
            </w:r>
          </w:p>
        </w:tc>
      </w:tr>
      <w:tr>
        <w:tc>
          <w:tcPr>
            <w:tcW w:type="dxa" w:w="5112"/>
          </w:tcPr>
          <w:p>
            <w:r>
              <w:t>Mission contribution</w:t>
            </w:r>
          </w:p>
        </w:tc>
        <w:tc>
          <w:tcPr>
            <w:tcW w:type="dxa" w:w="5112"/>
          </w:tcPr>
          <w:p>
            <w:r>
              <w:t>Client revenue - direct mission cost</w:t>
            </w:r>
          </w:p>
        </w:tc>
      </w:tr>
      <w:tr>
        <w:tc>
          <w:tcPr>
            <w:tcW w:type="dxa" w:w="5112"/>
          </w:tcPr>
          <w:p>
            <w:r>
              <w:t>Contribution margin</w:t>
            </w:r>
          </w:p>
        </w:tc>
        <w:tc>
          <w:tcPr>
            <w:tcW w:type="dxa" w:w="5112"/>
          </w:tcPr>
          <w:p>
            <w:r>
              <w:t>Mission contribution / client revenue</w:t>
            </w:r>
          </w:p>
        </w:tc>
      </w:tr>
      <w:tr>
        <w:tc>
          <w:tcPr>
            <w:tcW w:type="dxa" w:w="5112"/>
          </w:tcPr>
          <w:p>
            <w:r>
              <w:t>Rework cost</w:t>
            </w:r>
          </w:p>
        </w:tc>
        <w:tc>
          <w:tcPr>
            <w:tcW w:type="dxa" w:w="5112"/>
          </w:tcPr>
          <w:p>
            <w:r>
              <w:t>Additional cost attributable to correction</w:t>
            </w:r>
          </w:p>
        </w:tc>
      </w:tr>
      <w:tr>
        <w:tc>
          <w:tcPr>
            <w:tcW w:type="dxa" w:w="5112"/>
          </w:tcPr>
          <w:p>
            <w:r>
              <w:t>Average cost to serve</w:t>
            </w:r>
          </w:p>
        </w:tc>
        <w:tc>
          <w:tcPr>
            <w:tcW w:type="dxa" w:w="5112"/>
          </w:tcPr>
          <w:p>
            <w:r>
              <w:t>Operations + mission direct cost allocation</w:t>
            </w:r>
          </w:p>
        </w:tc>
      </w:tr>
    </w:tbl>
    <w:p>
      <w:r>
        <w:t>The business must distinguish gross revenue from contribution and operating profit.</w:t>
      </w:r>
    </w:p>
    <w:p>
      <w:pPr>
        <w:pStyle w:val="Heading1"/>
      </w:pPr>
      <w:r>
        <w:t>19. ASOJU Internal Economics</w:t>
      </w:r>
    </w:p>
    <w:p>
      <w:r>
        <w:t>ASOJU and FieldForce should use an agreed internal service-pricing or transfer-pricing methodology. The purpose is to make FieldForce's economics visible without making internal pricing unnecessarily complicated.</w:t>
      </w:r>
    </w:p>
    <w:p>
      <w:pPr>
        <w:pStyle w:val="ListBullet"/>
      </w:pPr>
      <w:r>
        <w:t>Standard internal service rates.</w:t>
      </w:r>
    </w:p>
    <w:p>
      <w:pPr>
        <w:pStyle w:val="ListBullet"/>
      </w:pPr>
      <w:r>
        <w:t>Specialist rates.</w:t>
      </w:r>
    </w:p>
    <w:p>
      <w:pPr>
        <w:pStyle w:val="ListBullet"/>
      </w:pPr>
      <w:r>
        <w:t>Urgency rates.</w:t>
      </w:r>
    </w:p>
    <w:p>
      <w:pPr>
        <w:pStyle w:val="ListBullet"/>
      </w:pPr>
      <w:r>
        <w:t>Approved expenses.</w:t>
      </w:r>
    </w:p>
    <w:p>
      <w:pPr>
        <w:pStyle w:val="ListBullet"/>
      </w:pPr>
      <w:r>
        <w:t>Monthly volume arrangements where appropriate.</w:t>
      </w:r>
    </w:p>
    <w:p>
      <w:pPr>
        <w:pStyle w:val="ListBullet"/>
      </w:pPr>
      <w:r>
        <w:t>Capacity reservation arrangements for high-priority services.</w:t>
      </w:r>
    </w:p>
    <w:p>
      <w:pPr>
        <w:pStyle w:val="Heading1"/>
      </w:pPr>
      <w:r>
        <w:t>20. External Commercial Model</w:t>
      </w:r>
    </w:p>
    <w:p>
      <w:r>
        <w:t>External clients can be offered:</w:t>
      </w:r>
    </w:p>
    <w:p>
      <w:pPr>
        <w:pStyle w:val="ListBullet"/>
      </w:pPr>
      <w:r>
        <w:t>Pay-per-mission.</w:t>
      </w:r>
    </w:p>
    <w:p>
      <w:pPr>
        <w:pStyle w:val="ListBullet"/>
      </w:pPr>
      <w:r>
        <w:t>Prepaid mission credits.</w:t>
      </w:r>
    </w:p>
    <w:p>
      <w:pPr>
        <w:pStyle w:val="ListBullet"/>
      </w:pPr>
      <w:r>
        <w:t>Monthly retainer.</w:t>
      </w:r>
    </w:p>
    <w:p>
      <w:pPr>
        <w:pStyle w:val="ListBullet"/>
      </w:pPr>
      <w:r>
        <w:t>Enterprise contract.</w:t>
      </w:r>
    </w:p>
    <w:p>
      <w:pPr>
        <w:pStyle w:val="ListBullet"/>
      </w:pPr>
      <w:r>
        <w:t>Managed fieldwork program.</w:t>
      </w:r>
    </w:p>
    <w:p>
      <w:pPr>
        <w:pStyle w:val="ListBullet"/>
      </w:pPr>
      <w:r>
        <w:t>Priority/SLA package.</w:t>
      </w:r>
    </w:p>
    <w:p>
      <w:pPr>
        <w:pStyle w:val="ListBullet"/>
      </w:pPr>
      <w:r>
        <w:t>Custom nationwide campaign.</w:t>
      </w:r>
    </w:p>
    <w:p>
      <w:r>
        <w:t>High-volume clients should receive contracted pricing only where volume, payment terms, and operational burden justify it.</w:t>
      </w:r>
    </w:p>
    <w:p>
      <w:pPr>
        <w:pStyle w:val="Heading1"/>
      </w:pPr>
      <w:r>
        <w:t>21. Quality Control</w:t>
      </w:r>
    </w:p>
    <w:p>
      <w:r>
        <w:t>QC is part of the product, not an administrative afterthought.</w:t>
      </w:r>
    </w:p>
    <w:p>
      <w:pPr>
        <w:pStyle w:val="ListBullet"/>
      </w:pPr>
      <w:r>
        <w:t>Evidence completeness.</w:t>
      </w:r>
    </w:p>
    <w:p>
      <w:pPr>
        <w:pStyle w:val="ListBullet"/>
      </w:pPr>
      <w:r>
        <w:t>Scope compliance.</w:t>
      </w:r>
    </w:p>
    <w:p>
      <w:pPr>
        <w:pStyle w:val="ListBullet"/>
      </w:pPr>
      <w:r>
        <w:t>GPS/location validity.</w:t>
      </w:r>
    </w:p>
    <w:p>
      <w:pPr>
        <w:pStyle w:val="ListBullet"/>
      </w:pPr>
      <w:r>
        <w:t>Timestamp/provenance.</w:t>
      </w:r>
    </w:p>
    <w:p>
      <w:pPr>
        <w:pStyle w:val="ListBullet"/>
      </w:pPr>
      <w:r>
        <w:t>Checklist completion.</w:t>
      </w:r>
    </w:p>
    <w:p>
      <w:pPr>
        <w:pStyle w:val="ListBullet"/>
      </w:pPr>
      <w:r>
        <w:t>Client-specific requirements.</w:t>
      </w:r>
    </w:p>
    <w:p>
      <w:pPr>
        <w:pStyle w:val="ListBullet"/>
      </w:pPr>
      <w:r>
        <w:t>SLA compliance.</w:t>
      </w:r>
    </w:p>
    <w:p>
      <w:pPr>
        <w:pStyle w:val="ListBullet"/>
      </w:pPr>
      <w:r>
        <w:t>Professional conduct.</w:t>
      </w:r>
    </w:p>
    <w:p>
      <w:r>
        <w:t>QC outcomes: Approved, Approved with exception, Rework, Rejected, or Escalated for investigation.</w:t>
      </w:r>
    </w:p>
    <w:p>
      <w:pPr>
        <w:pStyle w:val="Heading1"/>
      </w:pPr>
      <w:r>
        <w:t>22. Rework Policy</w:t>
      </w:r>
    </w:p>
    <w:p>
      <w:r>
        <w:t>Rework should distinguish between agent correction, remote clarification, and a new site visit.</w:t>
      </w:r>
    </w:p>
    <w:p>
      <w:pPr>
        <w:pStyle w:val="ListBullet"/>
      </w:pPr>
      <w:r>
        <w:t>Identify exact deficiency.</w:t>
      </w:r>
    </w:p>
    <w:p>
      <w:pPr>
        <w:pStyle w:val="ListBullet"/>
      </w:pPr>
      <w:r>
        <w:t>Assign responsibility.</w:t>
      </w:r>
    </w:p>
    <w:p>
      <w:pPr>
        <w:pStyle w:val="ListBullet"/>
      </w:pPr>
      <w:r>
        <w:t>Set correction deadline.</w:t>
      </w:r>
    </w:p>
    <w:p>
      <w:pPr>
        <w:pStyle w:val="ListBullet"/>
      </w:pPr>
      <w:r>
        <w:t>Determine whether additional travel is required.</w:t>
      </w:r>
    </w:p>
    <w:p>
      <w:pPr>
        <w:pStyle w:val="ListBullet"/>
      </w:pPr>
      <w:r>
        <w:t>Determine additional payout if justified.</w:t>
      </w:r>
    </w:p>
    <w:p>
      <w:pPr>
        <w:pStyle w:val="ListBullet"/>
      </w:pPr>
      <w:r>
        <w:t>Record root cause for training and analytics.</w:t>
      </w:r>
    </w:p>
    <w:p>
      <w:pPr>
        <w:pStyle w:val="Heading1"/>
      </w:pPr>
      <w:r>
        <w:t>23. Agent Performance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Performance level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Excellent</w:t>
            </w:r>
          </w:p>
        </w:tc>
        <w:tc>
          <w:tcPr>
            <w:tcW w:type="dxa" w:w="5112"/>
          </w:tcPr>
          <w:p>
            <w:r>
              <w:t>Priority work, tier progression, recognition</w:t>
            </w:r>
          </w:p>
        </w:tc>
      </w:tr>
      <w:tr>
        <w:tc>
          <w:tcPr>
            <w:tcW w:type="dxa" w:w="5112"/>
          </w:tcPr>
          <w:p>
            <w:r>
              <w:t>Good</w:t>
            </w:r>
          </w:p>
        </w:tc>
        <w:tc>
          <w:tcPr>
            <w:tcW w:type="dxa" w:w="5112"/>
          </w:tcPr>
          <w:p>
            <w:r>
              <w:t>Normal access and continued development</w:t>
            </w:r>
          </w:p>
        </w:tc>
      </w:tr>
      <w:tr>
        <w:tc>
          <w:tcPr>
            <w:tcW w:type="dxa" w:w="5112"/>
          </w:tcPr>
          <w:p>
            <w:r>
              <w:t>Watch</w:t>
            </w:r>
          </w:p>
        </w:tc>
        <w:tc>
          <w:tcPr>
            <w:tcW w:type="dxa" w:w="5112"/>
          </w:tcPr>
          <w:p>
            <w:r>
              <w:t>Coaching/training and closer monitoring</w:t>
            </w:r>
          </w:p>
        </w:tc>
      </w:tr>
      <w:tr>
        <w:tc>
          <w:tcPr>
            <w:tcW w:type="dxa" w:w="5112"/>
          </w:tcPr>
          <w:p>
            <w:r>
              <w:t>Restricted</w:t>
            </w:r>
          </w:p>
        </w:tc>
        <w:tc>
          <w:tcPr>
            <w:tcW w:type="dxa" w:w="5112"/>
          </w:tcPr>
          <w:p>
            <w:r>
              <w:t>Temporary limitation while reviewed</w:t>
            </w:r>
          </w:p>
        </w:tc>
      </w:tr>
      <w:tr>
        <w:tc>
          <w:tcPr>
            <w:tcW w:type="dxa" w:w="5112"/>
          </w:tcPr>
          <w:p>
            <w:r>
              <w:t>Suspended</w:t>
            </w:r>
          </w:p>
        </w:tc>
        <w:tc>
          <w:tcPr>
            <w:tcW w:type="dxa" w:w="5112"/>
          </w:tcPr>
          <w:p>
            <w:r>
              <w:t>No missions until resolution</w:t>
            </w:r>
          </w:p>
        </w:tc>
      </w:tr>
    </w:tbl>
    <w:p>
      <w:r>
        <w:t>Serious safety, integrity, or fraud matters require human investigation and documented decisions.</w:t>
      </w:r>
    </w:p>
    <w:p>
      <w:pPr>
        <w:pStyle w:val="Heading1"/>
      </w:pPr>
      <w:r>
        <w:t>24. Agent Retention</w:t>
      </w:r>
    </w:p>
    <w:p>
      <w:pPr>
        <w:pStyle w:val="ListBullet"/>
      </w:pPr>
      <w:r>
        <w:t>Reliable mission availability.</w:t>
      </w:r>
    </w:p>
    <w:p>
      <w:pPr>
        <w:pStyle w:val="ListBullet"/>
      </w:pPr>
      <w:r>
        <w:t>Transparent payouts.</w:t>
      </w:r>
    </w:p>
    <w:p>
      <w:pPr>
        <w:pStyle w:val="ListBullet"/>
      </w:pPr>
      <w:r>
        <w:t>Fast support.</w:t>
      </w:r>
    </w:p>
    <w:p>
      <w:pPr>
        <w:pStyle w:val="ListBullet"/>
      </w:pPr>
      <w:r>
        <w:t>Training and certification.</w:t>
      </w:r>
    </w:p>
    <w:p>
      <w:pPr>
        <w:pStyle w:val="ListBullet"/>
      </w:pPr>
      <w:r>
        <w:t>Professional reputation.</w:t>
      </w:r>
    </w:p>
    <w:p>
      <w:pPr>
        <w:pStyle w:val="ListBullet"/>
      </w:pPr>
      <w:r>
        <w:t>Priority access for strong performers.</w:t>
      </w:r>
    </w:p>
    <w:p>
      <w:pPr>
        <w:pStyle w:val="ListBullet"/>
      </w:pPr>
      <w:r>
        <w:t>Safety support.</w:t>
      </w:r>
    </w:p>
    <w:p>
      <w:pPr>
        <w:pStyle w:val="ListBullet"/>
      </w:pPr>
      <w:r>
        <w:t>Opportunities across multiple clients.</w:t>
      </w:r>
    </w:p>
    <w:p>
      <w:pPr>
        <w:pStyle w:val="ListBullet"/>
      </w:pPr>
      <w:r>
        <w:t>Recognition and progression.</w:t>
      </w:r>
    </w:p>
    <w:p>
      <w:r>
        <w:t>The goal is to retain the best operators rather than maximize short-term agent volume.</w:t>
      </w:r>
    </w:p>
    <w:p>
      <w:pPr>
        <w:pStyle w:val="Heading1"/>
      </w:pPr>
      <w:r>
        <w:t>25. Operations Team</w:t>
      </w:r>
    </w:p>
    <w:p>
      <w:r>
        <w:t>Initial FieldForce operations should include clear ownership for:</w:t>
      </w:r>
    </w:p>
    <w:p>
      <w:pPr>
        <w:pStyle w:val="ListBullet"/>
      </w:pPr>
      <w:r>
        <w:t>Workforce acquisition.</w:t>
      </w:r>
    </w:p>
    <w:p>
      <w:pPr>
        <w:pStyle w:val="ListBullet"/>
      </w:pPr>
      <w:r>
        <w:t>Verification/KYC.</w:t>
      </w:r>
    </w:p>
    <w:p>
      <w:pPr>
        <w:pStyle w:val="ListBullet"/>
      </w:pPr>
      <w:r>
        <w:t>Dispatch/matching.</w:t>
      </w:r>
    </w:p>
    <w:p>
      <w:pPr>
        <w:pStyle w:val="ListBullet"/>
      </w:pPr>
      <w:r>
        <w:t>Mission monitoring.</w:t>
      </w:r>
    </w:p>
    <w:p>
      <w:pPr>
        <w:pStyle w:val="ListBullet"/>
      </w:pPr>
      <w:r>
        <w:t>Agent support.</w:t>
      </w:r>
    </w:p>
    <w:p>
      <w:pPr>
        <w:pStyle w:val="ListBullet"/>
      </w:pPr>
      <w:r>
        <w:t>Client support.</w:t>
      </w:r>
    </w:p>
    <w:p>
      <w:pPr>
        <w:pStyle w:val="ListBullet"/>
      </w:pPr>
      <w:r>
        <w:t>QC.</w:t>
      </w:r>
    </w:p>
    <w:p>
      <w:pPr>
        <w:pStyle w:val="ListBullet"/>
      </w:pPr>
      <w:r>
        <w:t>Safety/incidents.</w:t>
      </w:r>
    </w:p>
    <w:p>
      <w:pPr>
        <w:pStyle w:val="ListBullet"/>
      </w:pPr>
      <w:r>
        <w:t>Trust/integrity.</w:t>
      </w:r>
    </w:p>
    <w:p>
      <w:pPr>
        <w:pStyle w:val="ListBullet"/>
      </w:pPr>
      <w:r>
        <w:t>Finance/payout reconciliation.</w:t>
      </w:r>
    </w:p>
    <w:p>
      <w:pPr>
        <w:pStyle w:val="Heading1"/>
      </w:pPr>
      <w:r>
        <w:t>26. Daily Operations Rhythm</w:t>
      </w:r>
    </w:p>
    <w:p>
      <w:pPr>
        <w:pStyle w:val="ListBullet"/>
      </w:pPr>
      <w:r>
        <w:t>Morning capacity review.</w:t>
      </w:r>
    </w:p>
    <w:p>
      <w:pPr>
        <w:pStyle w:val="ListBullet"/>
      </w:pPr>
      <w:r>
        <w:t>Active mission monitoring.</w:t>
      </w:r>
    </w:p>
    <w:p>
      <w:pPr>
        <w:pStyle w:val="ListBullet"/>
      </w:pPr>
      <w:r>
        <w:t>SLA/overdue review.</w:t>
      </w:r>
    </w:p>
    <w:p>
      <w:pPr>
        <w:pStyle w:val="ListBullet"/>
      </w:pPr>
      <w:r>
        <w:t>Escalation queue review.</w:t>
      </w:r>
    </w:p>
    <w:p>
      <w:pPr>
        <w:pStyle w:val="ListBullet"/>
      </w:pPr>
      <w:r>
        <w:t>QC/rework review.</w:t>
      </w:r>
    </w:p>
    <w:p>
      <w:pPr>
        <w:pStyle w:val="ListBullet"/>
      </w:pPr>
      <w:r>
        <w:t>Payout exception review.</w:t>
      </w:r>
    </w:p>
    <w:p>
      <w:pPr>
        <w:pStyle w:val="ListBullet"/>
      </w:pPr>
      <w:r>
        <w:t>End-of-day mission reconciliation.</w:t>
      </w:r>
    </w:p>
    <w:p>
      <w:pPr>
        <w:pStyle w:val="ListBullet"/>
      </w:pPr>
      <w:r>
        <w:t>Coverage gaps and next-day capacity planning.</w:t>
      </w:r>
    </w:p>
    <w:p>
      <w:pPr>
        <w:pStyle w:val="Heading1"/>
      </w:pPr>
      <w:r>
        <w:t>27. Safety &amp; Liability</w:t>
      </w:r>
    </w:p>
    <w:p>
      <w:r>
        <w:t>FieldForce must define operational safety procedures and obtain appropriate professional/legal advice on insurance, contractor liability, workplace safety, and high-risk missions.</w:t>
      </w:r>
    </w:p>
    <w:p>
      <w:pPr>
        <w:pStyle w:val="ListBullet"/>
      </w:pPr>
      <w:r>
        <w:t>Risk classification by service.</w:t>
      </w:r>
    </w:p>
    <w:p>
      <w:pPr>
        <w:pStyle w:val="ListBullet"/>
      </w:pPr>
      <w:r>
        <w:t>High-risk mission approval.</w:t>
      </w:r>
    </w:p>
    <w:p>
      <w:pPr>
        <w:pStyle w:val="ListBullet"/>
      </w:pPr>
      <w:r>
        <w:t>Agent safety briefing.</w:t>
      </w:r>
    </w:p>
    <w:p>
      <w:pPr>
        <w:pStyle w:val="ListBullet"/>
      </w:pPr>
      <w:r>
        <w:t>Unsafe-location escalation.</w:t>
      </w:r>
    </w:p>
    <w:p>
      <w:pPr>
        <w:pStyle w:val="ListBullet"/>
      </w:pPr>
      <w:r>
        <w:t>Incident reporting.</w:t>
      </w:r>
    </w:p>
    <w:p>
      <w:pPr>
        <w:pStyle w:val="ListBullet"/>
      </w:pPr>
      <w:r>
        <w:t>Client responsibility boundaries.</w:t>
      </w:r>
    </w:p>
    <w:p>
      <w:pPr>
        <w:pStyle w:val="ListBullet"/>
      </w:pPr>
      <w:r>
        <w:t>Evidence and incident retention.</w:t>
      </w:r>
    </w:p>
    <w:p>
      <w:pPr>
        <w:pStyle w:val="Heading1"/>
      </w:pPr>
      <w:r>
        <w:t>28. Data Governance</w:t>
      </w:r>
    </w:p>
    <w:p>
      <w:r>
        <w:t>FieldForce will process identity, location, evidence, and operational data. Data governance should follow applicable Nigerian privacy/data-protection requirements and contractual obligations.</w:t>
      </w:r>
    </w:p>
    <w:p>
      <w:pPr>
        <w:pStyle w:val="ListBullet"/>
      </w:pPr>
      <w:r>
        <w:t>Data minimization.</w:t>
      </w:r>
    </w:p>
    <w:p>
      <w:pPr>
        <w:pStyle w:val="ListBullet"/>
      </w:pPr>
      <w:r>
        <w:t>Role-based access.</w:t>
      </w:r>
    </w:p>
    <w:p>
      <w:pPr>
        <w:pStyle w:val="ListBullet"/>
      </w:pPr>
      <w:r>
        <w:t>Client tenant isolation.</w:t>
      </w:r>
    </w:p>
    <w:p>
      <w:pPr>
        <w:pStyle w:val="ListBullet"/>
      </w:pPr>
      <w:r>
        <w:t>Retention schedules.</w:t>
      </w:r>
    </w:p>
    <w:p>
      <w:pPr>
        <w:pStyle w:val="ListBullet"/>
      </w:pPr>
      <w:r>
        <w:t>Evidence access controls.</w:t>
      </w:r>
    </w:p>
    <w:p>
      <w:pPr>
        <w:pStyle w:val="ListBullet"/>
      </w:pPr>
      <w:r>
        <w:t>Audit trails.</w:t>
      </w:r>
    </w:p>
    <w:p>
      <w:pPr>
        <w:pStyle w:val="ListBullet"/>
      </w:pPr>
      <w:r>
        <w:t>Incident response.</w:t>
      </w:r>
    </w:p>
    <w:p>
      <w:pPr>
        <w:pStyle w:val="ListBullet"/>
      </w:pPr>
      <w:r>
        <w:t>Vendor/processor controls.</w:t>
      </w:r>
    </w:p>
    <w:p>
      <w:pPr>
        <w:pStyle w:val="Heading1"/>
      </w:pPr>
      <w:r>
        <w:t>29. Technology Operating Boundary</w:t>
      </w:r>
    </w:p>
    <w:p>
      <w:r>
        <w:t>FieldForce should have its own platform boundary while integrating with ASOJU Core through APIs/events.</w:t>
      </w:r>
    </w:p>
    <w:p>
      <w:pPr>
        <w:pStyle w:val="ListBullet"/>
      </w:pPr>
      <w:r>
        <w:t>FieldForce workforce database.</w:t>
      </w:r>
    </w:p>
    <w:p>
      <w:pPr>
        <w:pStyle w:val="ListBullet"/>
      </w:pPr>
      <w:r>
        <w:t>FieldForce mission execution system.</w:t>
      </w:r>
    </w:p>
    <w:p>
      <w:pPr>
        <w:pStyle w:val="ListBullet"/>
      </w:pPr>
      <w:r>
        <w:t>FieldForce agent portal/PWA.</w:t>
      </w:r>
    </w:p>
    <w:p>
      <w:pPr>
        <w:pStyle w:val="ListBullet"/>
      </w:pPr>
      <w:r>
        <w:t>FieldForce operations console.</w:t>
      </w:r>
    </w:p>
    <w:p>
      <w:pPr>
        <w:pStyle w:val="ListBullet"/>
      </w:pPr>
      <w:r>
        <w:t>FieldForce client portal.</w:t>
      </w:r>
    </w:p>
    <w:p>
      <w:pPr>
        <w:pStyle w:val="ListBullet"/>
      </w:pPr>
      <w:r>
        <w:t>FieldForce payout/ledger services.</w:t>
      </w:r>
    </w:p>
    <w:p>
      <w:pPr>
        <w:pStyle w:val="ListBullet"/>
      </w:pPr>
      <w:r>
        <w:t>ASOJU integration gateway.</w:t>
      </w:r>
    </w:p>
    <w:p>
      <w:r>
        <w:t>Avoid direct database coupling between ASOJU and FieldForce.</w:t>
      </w:r>
    </w:p>
    <w:p>
      <w:pPr>
        <w:pStyle w:val="Heading1"/>
      </w:pPr>
      <w:r>
        <w:t>30. Key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KPI</w:t>
            </w:r>
          </w:p>
        </w:tc>
      </w:tr>
      <w:tr>
        <w:tc>
          <w:tcPr>
            <w:tcW w:type="dxa" w:w="5112"/>
          </w:tcPr>
          <w:p>
            <w:r>
              <w:t>Workforce</w:t>
            </w:r>
          </w:p>
        </w:tc>
        <w:tc>
          <w:tcPr>
            <w:tcW w:type="dxa" w:w="5112"/>
          </w:tcPr>
          <w:p>
            <w:r>
              <w:t>Active verified agents</w:t>
            </w:r>
          </w:p>
        </w:tc>
      </w:tr>
      <w:tr>
        <w:tc>
          <w:tcPr>
            <w:tcW w:type="dxa" w:w="5112"/>
          </w:tcPr>
          <w:p>
            <w:r>
              <w:t>Workforce</w:t>
            </w:r>
          </w:p>
        </w:tc>
        <w:tc>
          <w:tcPr>
            <w:tcW w:type="dxa" w:w="5112"/>
          </w:tcPr>
          <w:p>
            <w:r>
              <w:t>Experienced active agents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Qualified agents per priority LGA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Mission SLA attainment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Average time to assignment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 pass rate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Evidence rejection rate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Rework rate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Incident rate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Retention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No-show/cancellation rate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External repeat-client rate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Revenue per client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Mission contribution margin</w:t>
            </w:r>
          </w:p>
        </w:tc>
      </w:tr>
      <w:tr>
        <w:tc>
          <w:tcPr>
            <w:tcW w:type="dxa" w:w="5112"/>
          </w:tcPr>
          <w:p>
            <w:r>
              <w:t>ASOJU</w:t>
            </w:r>
          </w:p>
        </w:tc>
        <w:tc>
          <w:tcPr>
            <w:tcW w:type="dxa" w:w="5112"/>
          </w:tcPr>
          <w:p>
            <w:r>
              <w:t>ASOJU mission fulfillment rate</w:t>
            </w:r>
          </w:p>
        </w:tc>
      </w:tr>
    </w:tbl>
    <w:p>
      <w:pPr>
        <w:pStyle w:val="Heading1"/>
      </w:pPr>
      <w:r>
        <w:t>31. 12-Month Operating Priorities</w:t>
      </w:r>
    </w:p>
    <w:p>
      <w:pPr>
        <w:pStyle w:val="ListNumber"/>
      </w:pPr>
      <w:r>
        <w:t>Establish FieldForce operating leadership and policies.</w:t>
      </w:r>
    </w:p>
    <w:p>
      <w:pPr>
        <w:pStyle w:val="ListNumber"/>
      </w:pPr>
      <w:r>
        <w:t>Recruit and verify initial priority-city/LGA workforce.</w:t>
      </w:r>
    </w:p>
    <w:p>
      <w:pPr>
        <w:pStyle w:val="ListNumber"/>
      </w:pPr>
      <w:r>
        <w:t>Train agents in core evidence and safety standards.</w:t>
      </w:r>
    </w:p>
    <w:p>
      <w:pPr>
        <w:pStyle w:val="ListNumber"/>
      </w:pPr>
      <w:r>
        <w:t>Build reliable ASOJU mission execution.</w:t>
      </w:r>
    </w:p>
    <w:p>
      <w:pPr>
        <w:pStyle w:val="ListNumber"/>
      </w:pPr>
      <w:r>
        <w:t>Measure agent performance and mission economics.</w:t>
      </w:r>
    </w:p>
    <w:p>
      <w:pPr>
        <w:pStyle w:val="ListNumber"/>
      </w:pPr>
      <w:r>
        <w:t>Create reserve capacity for priority ASOJU services.</w:t>
      </w:r>
    </w:p>
    <w:p>
      <w:pPr>
        <w:pStyle w:val="ListNumber"/>
      </w:pPr>
      <w:r>
        <w:t>Standardize service cards and QC.</w:t>
      </w:r>
    </w:p>
    <w:p>
      <w:pPr>
        <w:pStyle w:val="ListNumber"/>
      </w:pPr>
      <w:r>
        <w:t>Launch limited external-client pilots.</w:t>
      </w:r>
    </w:p>
    <w:p>
      <w:pPr>
        <w:pStyle w:val="ListNumber"/>
      </w:pPr>
      <w:r>
        <w:t>Expand coverage based on actual demand.</w:t>
      </w:r>
    </w:p>
    <w:p>
      <w:pPr>
        <w:pStyle w:val="ListNumber"/>
      </w:pPr>
      <w:r>
        <w:t>Formalize external pricing and enterprise service levels.</w:t>
      </w:r>
    </w:p>
    <w:p>
      <w:pPr>
        <w:pStyle w:val="ListNumber"/>
      </w:pPr>
      <w:r>
        <w:t>Build stronger commercial pipeline.</w:t>
      </w:r>
    </w:p>
    <w:p>
      <w:pPr>
        <w:pStyle w:val="ListNumber"/>
      </w:pPr>
      <w:r>
        <w:t>Review P&amp;L and decide scale-up priorities.</w:t>
      </w:r>
    </w:p>
    <w:p>
      <w:pPr>
        <w:pStyle w:val="Heading1"/>
      </w:pPr>
      <w:r>
        <w:t>32. 24-Month Strategic Direction</w:t>
      </w:r>
    </w:p>
    <w:p>
      <w:pPr>
        <w:pStyle w:val="ListBullet"/>
      </w:pPr>
      <w:r>
        <w:t>Build dense coverage in priority Nigerian markets.</w:t>
      </w:r>
    </w:p>
    <w:p>
      <w:pPr>
        <w:pStyle w:val="ListBullet"/>
      </w:pPr>
      <w:r>
        <w:t>Develop specialist agent pools.</w:t>
      </w:r>
    </w:p>
    <w:p>
      <w:pPr>
        <w:pStyle w:val="ListBullet"/>
      </w:pPr>
      <w:r>
        <w:t>Increase external-client revenue without compromising ASOJU service levels.</w:t>
      </w:r>
    </w:p>
    <w:p>
      <w:pPr>
        <w:pStyle w:val="ListBullet"/>
      </w:pPr>
      <w:r>
        <w:t>Introduce enterprise contracts.</w:t>
      </w:r>
    </w:p>
    <w:p>
      <w:pPr>
        <w:pStyle w:val="ListBullet"/>
      </w:pPr>
      <w:r>
        <w:t>Improve workforce forecasting.</w:t>
      </w:r>
    </w:p>
    <w:p>
      <w:pPr>
        <w:pStyle w:val="ListBullet"/>
      </w:pPr>
      <w:r>
        <w:t>Develop advanced matching.</w:t>
      </w:r>
    </w:p>
    <w:p>
      <w:pPr>
        <w:pStyle w:val="ListBullet"/>
      </w:pPr>
      <w:r>
        <w:t>Build a recognized FieldForce operator reputation.</w:t>
      </w:r>
    </w:p>
    <w:p>
      <w:pPr>
        <w:pStyle w:val="ListBullet"/>
      </w:pPr>
      <w:r>
        <w:t>Explore additional African markets only after Nigerian operations are proven.</w:t>
      </w:r>
    </w:p>
    <w:p>
      <w:pPr>
        <w:pStyle w:val="Heading1"/>
      </w:pPr>
      <w:r>
        <w:t>33. Major Risks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Control</w:t>
            </w:r>
          </w:p>
        </w:tc>
      </w:tr>
      <w:tr>
        <w:tc>
          <w:tcPr>
            <w:tcW w:type="dxa" w:w="5112"/>
          </w:tcPr>
          <w:p>
            <w:r>
              <w:t>Agent shortage</w:t>
            </w:r>
          </w:p>
        </w:tc>
        <w:tc>
          <w:tcPr>
            <w:tcW w:type="dxa" w:w="5112"/>
          </w:tcPr>
          <w:p>
            <w:r>
              <w:t>Reserve targets + recruitment pipeline</w:t>
            </w:r>
          </w:p>
        </w:tc>
      </w:tr>
      <w:tr>
        <w:tc>
          <w:tcPr>
            <w:tcW w:type="dxa" w:w="5112"/>
          </w:tcPr>
          <w:p>
            <w:r>
              <w:t>Poor evidence</w:t>
            </w:r>
          </w:p>
        </w:tc>
        <w:tc>
          <w:tcPr>
            <w:tcW w:type="dxa" w:w="5112"/>
          </w:tcPr>
          <w:p>
            <w:r>
              <w:t>Training + deterministic requirements + QC</w:t>
            </w:r>
          </w:p>
        </w:tc>
      </w:tr>
      <w:tr>
        <w:tc>
          <w:tcPr>
            <w:tcW w:type="dxa" w:w="5112"/>
          </w:tcPr>
          <w:p>
            <w:r>
              <w:t>Fraud/spoofing</w:t>
            </w:r>
          </w:p>
        </w:tc>
        <w:tc>
          <w:tcPr>
            <w:tcW w:type="dxa" w:w="5112"/>
          </w:tcPr>
          <w:p>
            <w:r>
              <w:t>GPS/evidence provenance + integrity review</w:t>
            </w:r>
          </w:p>
        </w:tc>
      </w:tr>
      <w:tr>
        <w:tc>
          <w:tcPr>
            <w:tcW w:type="dxa" w:w="5112"/>
          </w:tcPr>
          <w:p>
            <w:r>
              <w:t>Safety incident</w:t>
            </w:r>
          </w:p>
        </w:tc>
        <w:tc>
          <w:tcPr>
            <w:tcW w:type="dxa" w:w="5112"/>
          </w:tcPr>
          <w:p>
            <w:r>
              <w:t>Risk classification + escalation + incident process</w:t>
            </w:r>
          </w:p>
        </w:tc>
      </w:tr>
      <w:tr>
        <w:tc>
          <w:tcPr>
            <w:tcW w:type="dxa" w:w="5112"/>
          </w:tcPr>
          <w:p>
            <w:r>
              <w:t>Client data leakage</w:t>
            </w:r>
          </w:p>
        </w:tc>
        <w:tc>
          <w:tcPr>
            <w:tcW w:type="dxa" w:w="5112"/>
          </w:tcPr>
          <w:p>
            <w:r>
              <w:t>Tenant isolation + least privilege</w:t>
            </w:r>
          </w:p>
        </w:tc>
      </w:tr>
      <w:tr>
        <w:tc>
          <w:tcPr>
            <w:tcW w:type="dxa" w:w="5112"/>
          </w:tcPr>
          <w:p>
            <w:r>
              <w:t>ASOJU capacity conflict</w:t>
            </w:r>
          </w:p>
        </w:tc>
        <w:tc>
          <w:tcPr>
            <w:tcW w:type="dxa" w:w="5112"/>
          </w:tcPr>
          <w:p>
            <w:r>
              <w:t>Reserved-capacity policy</w:t>
            </w:r>
          </w:p>
        </w:tc>
      </w:tr>
      <w:tr>
        <w:tc>
          <w:tcPr>
            <w:tcW w:type="dxa" w:w="5112"/>
          </w:tcPr>
          <w:p>
            <w:r>
              <w:t>Low agent retention</w:t>
            </w:r>
          </w:p>
        </w:tc>
        <w:tc>
          <w:tcPr>
            <w:tcW w:type="dxa" w:w="5112"/>
          </w:tcPr>
          <w:p>
            <w:r>
              <w:t>Fair payout + training + mission access</w:t>
            </w:r>
          </w:p>
        </w:tc>
      </w:tr>
      <w:tr>
        <w:tc>
          <w:tcPr>
            <w:tcW w:type="dxa" w:w="5112"/>
          </w:tcPr>
          <w:p>
            <w:r>
              <w:t>Poor margins</w:t>
            </w:r>
          </w:p>
        </w:tc>
        <w:tc>
          <w:tcPr>
            <w:tcW w:type="dxa" w:w="5112"/>
          </w:tcPr>
          <w:p>
            <w:r>
              <w:t>Mission-level unit economics</w:t>
            </w:r>
          </w:p>
        </w:tc>
      </w:tr>
      <w:tr>
        <w:tc>
          <w:tcPr>
            <w:tcW w:type="dxa" w:w="5112"/>
          </w:tcPr>
          <w:p>
            <w:r>
              <w:t>Overexpansion</w:t>
            </w:r>
          </w:p>
        </w:tc>
        <w:tc>
          <w:tcPr>
            <w:tcW w:type="dxa" w:w="5112"/>
          </w:tcPr>
          <w:p>
            <w:r>
              <w:t>Demand-led geographic growth</w:t>
            </w:r>
          </w:p>
        </w:tc>
      </w:tr>
      <w:tr>
        <w:tc>
          <w:tcPr>
            <w:tcW w:type="dxa" w:w="5112"/>
          </w:tcPr>
          <w:p>
            <w:r>
              <w:t>Operational overload</w:t>
            </w:r>
          </w:p>
        </w:tc>
        <w:tc>
          <w:tcPr>
            <w:tcW w:type="dxa" w:w="5112"/>
          </w:tcPr>
          <w:p>
            <w:r>
              <w:t>Capacity planning + automation</w:t>
            </w:r>
          </w:p>
        </w:tc>
      </w:tr>
    </w:tbl>
    <w:p>
      <w:pPr>
        <w:pStyle w:val="Heading1"/>
      </w:pPr>
      <w:r>
        <w:t>34. Decision Principles</w:t>
      </w:r>
    </w:p>
    <w:p>
      <w:pPr>
        <w:pStyle w:val="ListNumber"/>
      </w:pPr>
      <w:r>
        <w:t>ASOJU should never depend on an unknown agent for a critical customer commitment when FieldForce can provide a verified operator.</w:t>
      </w:r>
    </w:p>
    <w:p>
      <w:pPr>
        <w:pStyle w:val="ListNumber"/>
      </w:pPr>
      <w:r>
        <w:t>FieldForce should optimize experienced workforce density, not registration numbers.</w:t>
      </w:r>
    </w:p>
    <w:p>
      <w:pPr>
        <w:pStyle w:val="ListNumber"/>
      </w:pPr>
      <w:r>
        <w:t>Every service must have a clear scope, evidence standard, payout rule, and QC rule.</w:t>
      </w:r>
    </w:p>
    <w:p>
      <w:pPr>
        <w:pStyle w:val="ListNumber"/>
      </w:pPr>
      <w:r>
        <w:t>Every mission should have an economic model.</w:t>
      </w:r>
    </w:p>
    <w:p>
      <w:pPr>
        <w:pStyle w:val="ListNumber"/>
      </w:pPr>
      <w:r>
        <w:t>ASOJU priority capacity must be explicit.</w:t>
      </w:r>
    </w:p>
    <w:p>
      <w:pPr>
        <w:pStyle w:val="ListNumber"/>
      </w:pPr>
      <w:r>
        <w:t>External growth must strengthen, not weaken, ASOJU execution.</w:t>
      </w:r>
    </w:p>
    <w:p>
      <w:pPr>
        <w:pStyle w:val="ListNumber"/>
      </w:pPr>
      <w:r>
        <w:t>Agent safety and client trust are operating requirements.</w:t>
      </w:r>
    </w:p>
    <w:p>
      <w:pPr>
        <w:pStyle w:val="ListNumber"/>
      </w:pPr>
      <w:r>
        <w:t>Operational independence must not mean strategic separation from ASOJU.</w:t>
      </w:r>
    </w:p>
    <w:p>
      <w:pPr>
        <w:pStyle w:val="ListNumber"/>
      </w:pPr>
      <w:r>
        <w:t>Technology should enforce the operating model, not define it accidentally.</w:t>
      </w:r>
    </w:p>
    <w:p>
      <w:pPr>
        <w:pStyle w:val="Heading1"/>
      </w:pPr>
      <w:r>
        <w:t>35. Final Operating Model</w:t>
      </w:r>
    </w:p>
    <w:p>
      <w:r>
        <w:t>FieldForce is the workforce and physical-execution engine of ASOJU Group. It recruits and develops a professional field network, maintains geographic and capability capacity, executes missions under controlled workflows, produces defensible evidence, pays operators, and measures performance.</w:t>
      </w:r>
    </w:p>
    <w:p>
      <w:r>
        <w:t>ASOJU receives a dependable physical-execution capability without building a separate nationwide field workforce. External clients can use the same infrastructure when capacity and strategic policy permit.</w:t>
      </w:r>
    </w:p>
    <w:p>
      <w:r>
        <w:t>The long-term objective is a FieldForce network where ASOJU can say, with confidence: 'We have someone qualified, verified, experienced, and ready to execute this on the ground.'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Business &amp; Operating Model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