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ASOJU FieldForce</w:t>
        <w:br/>
        <w:t>Operating Policies &amp; Controls Manual v1.0</w:t>
      </w:r>
    </w:p>
    <w:p>
      <w:pPr>
        <w:jc w:val="center"/>
      </w:pPr>
      <w:r>
        <w:rPr>
          <w:b/>
        </w:rPr>
        <w:t>Workforce • Operations • Quality • Safety • Trust • Finance • Data • ASOJU Integration</w:t>
      </w:r>
    </w:p>
    <w:p>
      <w:r>
        <w:t>Purpose: convert the FieldForce product, business, workforce, and service documents into enforceable operating rules. This manual is the control layer that should govern day-to-day decisions and later be translated into platform permissions, workflow rules, alerts, audit trails, and approval gates.</w:t>
      </w:r>
    </w:p>
    <w:p>
      <w:pPr>
        <w:pStyle w:val="Heading1"/>
      </w:pPr>
      <w:r>
        <w:t>1. Control Philosophy</w:t>
      </w:r>
    </w:p>
    <w:p>
      <w:r>
        <w:t>FieldForce operates on the principle that physical execution must be verifiable, scoped, auditable, and economically controlled.</w:t>
      </w:r>
    </w:p>
    <w:p>
      <w:pPr>
        <w:pStyle w:val="ListBullet"/>
      </w:pPr>
      <w:r>
        <w:t>No fabricated work.</w:t>
      </w:r>
    </w:p>
    <w:p>
      <w:pPr>
        <w:pStyle w:val="ListBullet"/>
      </w:pPr>
      <w:r>
        <w:t>No fabricated location evidence.</w:t>
      </w:r>
    </w:p>
    <w:p>
      <w:pPr>
        <w:pStyle w:val="ListBullet"/>
      </w:pPr>
      <w:r>
        <w:t>No fabricated evidence.</w:t>
      </w:r>
    </w:p>
    <w:p>
      <w:pPr>
        <w:pStyle w:val="ListBullet"/>
      </w:pPr>
      <w:r>
        <w:t>No unauthorized scope expansion.</w:t>
      </w:r>
    </w:p>
    <w:p>
      <w:pPr>
        <w:pStyle w:val="ListBullet"/>
      </w:pPr>
      <w:r>
        <w:t>No cross-client data access.</w:t>
      </w:r>
    </w:p>
    <w:p>
      <w:pPr>
        <w:pStyle w:val="ListBullet"/>
      </w:pPr>
      <w:r>
        <w:t>No silent state changes.</w:t>
      </w:r>
    </w:p>
    <w:p>
      <w:pPr>
        <w:pStyle w:val="ListBullet"/>
      </w:pPr>
      <w:r>
        <w:t>No unapproved payout clearance.</w:t>
      </w:r>
    </w:p>
    <w:p>
      <w:pPr>
        <w:pStyle w:val="ListBullet"/>
      </w:pPr>
      <w:r>
        <w:t>No bypassing safety controls.</w:t>
      </w:r>
    </w:p>
    <w:p>
      <w:pPr>
        <w:pStyle w:val="ListBullet"/>
      </w:pPr>
      <w:r>
        <w:t>No AI-only disciplinary decisions.</w:t>
      </w:r>
    </w:p>
    <w:p>
      <w:pPr>
        <w:pStyle w:val="ListBullet"/>
      </w:pPr>
      <w:r>
        <w:t>Every material operational action is auditable.</w:t>
      </w:r>
    </w:p>
    <w:p>
      <w:pPr>
        <w:pStyle w:val="Heading1"/>
      </w:pPr>
      <w:r>
        <w:t>2. Policy Hierarchy</w:t>
      </w:r>
    </w:p>
    <w:p>
      <w:r>
        <w:t>Where rules conflict, apply the following hierarchy unless a documented legal or contractual requirement requires a different order:</w:t>
      </w:r>
    </w:p>
    <w:p>
      <w:pPr>
        <w:pStyle w:val="ListNumber"/>
      </w:pPr>
      <w:r>
        <w:t>Applicable law and regulatory requirements.</w:t>
      </w:r>
    </w:p>
    <w:p>
      <w:pPr>
        <w:pStyle w:val="ListNumber"/>
      </w:pPr>
      <w:r>
        <w:t>ASOJU Group governance and approved risk controls.</w:t>
      </w:r>
    </w:p>
    <w:p>
      <w:pPr>
        <w:pStyle w:val="ListNumber"/>
      </w:pPr>
      <w:r>
        <w:t>Client contract/service agreement.</w:t>
      </w:r>
    </w:p>
    <w:p>
      <w:pPr>
        <w:pStyle w:val="ListNumber"/>
      </w:pPr>
      <w:r>
        <w:t>FieldForce service specification.</w:t>
      </w:r>
    </w:p>
    <w:p>
      <w:pPr>
        <w:pStyle w:val="ListNumber"/>
      </w:pPr>
      <w:r>
        <w:t>FieldForce operating policies.</w:t>
      </w:r>
    </w:p>
    <w:p>
      <w:pPr>
        <w:pStyle w:val="ListNumber"/>
      </w:pPr>
      <w:r>
        <w:t>Mission-specific instructions.</w:t>
      </w:r>
    </w:p>
    <w:p>
      <w:pPr>
        <w:pStyle w:val="ListNumber"/>
      </w:pPr>
      <w:r>
        <w:t>Agent preferences.</w:t>
      </w:r>
    </w:p>
    <w:p>
      <w:r>
        <w:t>A lower-level instruction must never override a higher-level safety, legal, privacy, security, or authorization control.</w:t>
      </w:r>
    </w:p>
    <w:p>
      <w:pPr>
        <w:pStyle w:val="Heading1"/>
      </w:pPr>
      <w:r>
        <w:t>3. Roles &amp; Authority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Role</w:t>
            </w:r>
          </w:p>
        </w:tc>
        <w:tc>
          <w:tcPr>
            <w:tcW w:type="dxa" w:w="5112"/>
          </w:tcPr>
          <w:p>
            <w:r>
              <w:t>Primary authority</w:t>
            </w:r>
          </w:p>
        </w:tc>
      </w:tr>
      <w:tr>
        <w:tc>
          <w:tcPr>
            <w:tcW w:type="dxa" w:w="5112"/>
          </w:tcPr>
          <w:p>
            <w:r>
              <w:t>ASOJU Group</w:t>
            </w:r>
          </w:p>
        </w:tc>
        <w:tc>
          <w:tcPr>
            <w:tcW w:type="dxa" w:w="5112"/>
          </w:tcPr>
          <w:p>
            <w:r>
              <w:t>Strategic governance, capital, major risk, group policies</w:t>
            </w:r>
          </w:p>
        </w:tc>
      </w:tr>
      <w:tr>
        <w:tc>
          <w:tcPr>
            <w:tcW w:type="dxa" w:w="5112"/>
          </w:tcPr>
          <w:p>
            <w:r>
              <w:t>FieldForce Head/GM</w:t>
            </w:r>
          </w:p>
        </w:tc>
        <w:tc>
          <w:tcPr>
            <w:tcW w:type="dxa" w:w="5112"/>
          </w:tcPr>
          <w:p>
            <w:r>
              <w:t>Operating performance, workforce, commercial execution</w:t>
            </w:r>
          </w:p>
        </w:tc>
      </w:tr>
      <w:tr>
        <w:tc>
          <w:tcPr>
            <w:tcW w:type="dxa" w:w="5112"/>
          </w:tcPr>
          <w:p>
            <w:r>
              <w:t>Operations</w:t>
            </w:r>
          </w:p>
        </w:tc>
        <w:tc>
          <w:tcPr>
            <w:tcW w:type="dxa" w:w="5112"/>
          </w:tcPr>
          <w:p>
            <w:r>
              <w:t>Mission control, dispatch, escalation, reassignment</w:t>
            </w:r>
          </w:p>
        </w:tc>
      </w:tr>
      <w:tr>
        <w:tc>
          <w:tcPr>
            <w:tcW w:type="dxa" w:w="5112"/>
          </w:tcPr>
          <w:p>
            <w:r>
              <w:t>Workforce/KYC</w:t>
            </w:r>
          </w:p>
        </w:tc>
        <w:tc>
          <w:tcPr>
            <w:tcW w:type="dxa" w:w="5112"/>
          </w:tcPr>
          <w:p>
            <w:r>
              <w:t>Recruitment, verification, onboarding</w:t>
            </w:r>
          </w:p>
        </w:tc>
      </w:tr>
      <w:tr>
        <w:tc>
          <w:tcPr>
            <w:tcW w:type="dxa" w:w="5112"/>
          </w:tcPr>
          <w:p>
            <w:r>
              <w:t>Training/Certification</w:t>
            </w:r>
          </w:p>
        </w:tc>
        <w:tc>
          <w:tcPr>
            <w:tcW w:type="dxa" w:w="5112"/>
          </w:tcPr>
          <w:p>
            <w:r>
              <w:t>Capability readiness</w:t>
            </w:r>
          </w:p>
        </w:tc>
      </w:tr>
      <w:tr>
        <w:tc>
          <w:tcPr>
            <w:tcW w:type="dxa" w:w="5112"/>
          </w:tcPr>
          <w:p>
            <w:r>
              <w:t>QC</w:t>
            </w:r>
          </w:p>
        </w:tc>
        <w:tc>
          <w:tcPr>
            <w:tcW w:type="dxa" w:w="5112"/>
          </w:tcPr>
          <w:p>
            <w:r>
              <w:t>Evidence/result acceptance</w:t>
            </w:r>
          </w:p>
        </w:tc>
      </w:tr>
      <w:tr>
        <w:tc>
          <w:tcPr>
            <w:tcW w:type="dxa" w:w="5112"/>
          </w:tcPr>
          <w:p>
            <w:r>
              <w:t>Safety</w:t>
            </w:r>
          </w:p>
        </w:tc>
        <w:tc>
          <w:tcPr>
            <w:tcW w:type="dxa" w:w="5112"/>
          </w:tcPr>
          <w:p>
            <w:r>
              <w:t>Risk classification and incident controls</w:t>
            </w:r>
          </w:p>
        </w:tc>
      </w:tr>
      <w:tr>
        <w:tc>
          <w:tcPr>
            <w:tcW w:type="dxa" w:w="5112"/>
          </w:tcPr>
          <w:p>
            <w:r>
              <w:t>Trust/Integrity</w:t>
            </w:r>
          </w:p>
        </w:tc>
        <w:tc>
          <w:tcPr>
            <w:tcW w:type="dxa" w:w="5112"/>
          </w:tcPr>
          <w:p>
            <w:r>
              <w:t>Anomaly review and investigations</w:t>
            </w:r>
          </w:p>
        </w:tc>
      </w:tr>
      <w:tr>
        <w:tc>
          <w:tcPr>
            <w:tcW w:type="dxa" w:w="5112"/>
          </w:tcPr>
          <w:p>
            <w:r>
              <w:t>Finance</w:t>
            </w:r>
          </w:p>
        </w:tc>
        <w:tc>
          <w:tcPr>
            <w:tcW w:type="dxa" w:w="5112"/>
          </w:tcPr>
          <w:p>
            <w:r>
              <w:t>Pricing controls, payout reconciliation, P&amp;L</w:t>
            </w:r>
          </w:p>
        </w:tc>
      </w:tr>
      <w:tr>
        <w:tc>
          <w:tcPr>
            <w:tcW w:type="dxa" w:w="5112"/>
          </w:tcPr>
          <w:p>
            <w:r>
              <w:t>Engineering</w:t>
            </w:r>
          </w:p>
        </w:tc>
        <w:tc>
          <w:tcPr>
            <w:tcW w:type="dxa" w:w="5112"/>
          </w:tcPr>
          <w:p>
            <w:r>
              <w:t>Technical enforcement of approved controls</w:t>
            </w:r>
          </w:p>
        </w:tc>
      </w:tr>
      <w:tr>
        <w:tc>
          <w:tcPr>
            <w:tcW w:type="dxa" w:w="5112"/>
          </w:tcPr>
          <w:p>
            <w:r>
              <w:t>Agent</w:t>
            </w:r>
          </w:p>
        </w:tc>
        <w:tc>
          <w:tcPr>
            <w:tcW w:type="dxa" w:w="5112"/>
          </w:tcPr>
          <w:p>
            <w:r>
              <w:t>Execution within authorized mission scope</w:t>
            </w:r>
          </w:p>
        </w:tc>
      </w:tr>
      <w:tr>
        <w:tc>
          <w:tcPr>
            <w:tcW w:type="dxa" w:w="5112"/>
          </w:tcPr>
          <w:p>
            <w:r>
              <w:t>Client</w:t>
            </w:r>
          </w:p>
        </w:tc>
        <w:tc>
          <w:tcPr>
            <w:tcW w:type="dxa" w:w="5112"/>
          </w:tcPr>
          <w:p>
            <w:r>
              <w:t>Provides accurate scope, access, instructions, and payment</w:t>
            </w:r>
          </w:p>
        </w:tc>
      </w:tr>
    </w:tbl>
    <w:p>
      <w:pPr>
        <w:pStyle w:val="Heading1"/>
      </w:pPr>
      <w:r>
        <w:t>4. Agent Activation Policy</w:t>
      </w:r>
    </w:p>
    <w:p>
      <w:r>
        <w:t>An agent may receive standard missions only after required identity verification, onboarding, core training, payout setup, and device readiness are complete.</w:t>
      </w:r>
    </w:p>
    <w:p>
      <w:pPr>
        <w:pStyle w:val="ListBullet"/>
      </w:pPr>
      <w:r>
        <w:t>Applicant cannot accept missions.</w:t>
      </w:r>
    </w:p>
    <w:p>
      <w:pPr>
        <w:pStyle w:val="ListBullet"/>
      </w:pPr>
      <w:r>
        <w:t>Identity Verified may complete permitted onboarding steps.</w:t>
      </w:r>
    </w:p>
    <w:p>
      <w:pPr>
        <w:pStyle w:val="ListBullet"/>
      </w:pPr>
      <w:r>
        <w:t>Field Verified may receive standard eligible missions.</w:t>
      </w:r>
    </w:p>
    <w:p>
      <w:pPr>
        <w:pStyle w:val="ListBullet"/>
      </w:pPr>
      <w:r>
        <w:t>Specialist Verified may receive designated specialist missions.</w:t>
      </w:r>
    </w:p>
    <w:p>
      <w:pPr>
        <w:pStyle w:val="ListBullet"/>
      </w:pPr>
      <w:r>
        <w:t>Restricted/Suspended agents cannot receive missions outside explicit authorization.</w:t>
      </w:r>
    </w:p>
    <w:p>
      <w:pPr>
        <w:pStyle w:val="Heading1"/>
      </w:pPr>
      <w:r>
        <w:t>5. Agent Mission Acceptance</w:t>
      </w:r>
    </w:p>
    <w:p>
      <w:r>
        <w:t>Before acceptance, the platform should present the mission scope, location, SLA, required capability, evidence requirements, safety classification, and payout terms.</w:t>
      </w:r>
    </w:p>
    <w:p>
      <w:r>
        <w:t>Agent acceptance creates a recorded commitment. Repeated unjustified acceptance followed by cancellation can affect performance status.</w:t>
      </w:r>
    </w:p>
    <w:p>
      <w:pPr>
        <w:pStyle w:val="Heading1"/>
      </w:pPr>
      <w:r>
        <w:t>6. Agent Conduct</w:t>
      </w:r>
    </w:p>
    <w:p>
      <w:pPr>
        <w:pStyle w:val="ListBullet"/>
      </w:pPr>
      <w:r>
        <w:t>Be truthful about identity and status.</w:t>
      </w:r>
    </w:p>
    <w:p>
      <w:pPr>
        <w:pStyle w:val="ListBullet"/>
      </w:pPr>
      <w:r>
        <w:t>Follow mission scope.</w:t>
      </w:r>
    </w:p>
    <w:p>
      <w:pPr>
        <w:pStyle w:val="ListBullet"/>
      </w:pPr>
      <w:r>
        <w:t>Do not fabricate observations or evidence.</w:t>
      </w:r>
    </w:p>
    <w:p>
      <w:pPr>
        <w:pStyle w:val="ListBullet"/>
      </w:pPr>
      <w:r>
        <w:t>Do not misrepresent FieldForce or ASOJU.</w:t>
      </w:r>
    </w:p>
    <w:p>
      <w:pPr>
        <w:pStyle w:val="ListBullet"/>
      </w:pPr>
      <w:r>
        <w:t>Do not collect unnecessary personal information.</w:t>
      </w:r>
    </w:p>
    <w:p>
      <w:pPr>
        <w:pStyle w:val="ListBullet"/>
      </w:pPr>
      <w:r>
        <w:t>Do not disclose client information.</w:t>
      </w:r>
    </w:p>
    <w:p>
      <w:pPr>
        <w:pStyle w:val="ListBullet"/>
      </w:pPr>
      <w:r>
        <w:t>Do not accept unauthorized payments from mission subjects.</w:t>
      </w:r>
    </w:p>
    <w:p>
      <w:pPr>
        <w:pStyle w:val="ListBullet"/>
      </w:pPr>
      <w:r>
        <w:t>Do not perform prohibited tasks.</w:t>
      </w:r>
    </w:p>
    <w:p>
      <w:pPr>
        <w:pStyle w:val="ListBullet"/>
      </w:pPr>
      <w:r>
        <w:t>Report blockers promptly.</w:t>
      </w:r>
    </w:p>
    <w:p>
      <w:pPr>
        <w:pStyle w:val="ListBullet"/>
      </w:pPr>
      <w:r>
        <w:t>Protect devices and evidence.</w:t>
      </w:r>
    </w:p>
    <w:p>
      <w:pPr>
        <w:pStyle w:val="Heading1"/>
      </w:pPr>
      <w:r>
        <w:t>7. Scope Control</w:t>
      </w:r>
    </w:p>
    <w:p>
      <w:r>
        <w:t>Agents must execute only the approved Mission Specification.</w:t>
      </w:r>
    </w:p>
    <w:p>
      <w:pPr>
        <w:pStyle w:val="ListBullet"/>
      </w:pPr>
      <w:r>
        <w:t>Extra work requires authorization.</w:t>
      </w:r>
    </w:p>
    <w:p>
      <w:pPr>
        <w:pStyle w:val="ListBullet"/>
      </w:pPr>
      <w:r>
        <w:t>Changed objectives require Operations/client approval.</w:t>
      </w:r>
    </w:p>
    <w:p>
      <w:pPr>
        <w:pStyle w:val="ListBullet"/>
      </w:pPr>
      <w:r>
        <w:t>Agents must not negotiate legal, financial, ownership, or regulatory outcomes unless explicitly qualified and authorized.</w:t>
      </w:r>
    </w:p>
    <w:p>
      <w:pPr>
        <w:pStyle w:val="ListBullet"/>
      </w:pPr>
      <w:r>
        <w:t>Ambiguous instructions must be escalated.</w:t>
      </w:r>
    </w:p>
    <w:p>
      <w:pPr>
        <w:pStyle w:val="Heading1"/>
      </w:pPr>
      <w:r>
        <w:t>8. Physical Presence Policy</w:t>
      </w:r>
    </w:p>
    <w:p>
      <w:r>
        <w:t>For location-dependent missions, successful execution requires valid physical-presence evidence according to the service specification.</w:t>
      </w:r>
    </w:p>
    <w:p>
      <w:pPr>
        <w:pStyle w:val="ListBullet"/>
      </w:pPr>
      <w:r>
        <w:t>GPS must be genuine.</w:t>
      </w:r>
    </w:p>
    <w:p>
      <w:pPr>
        <w:pStyle w:val="ListBullet"/>
      </w:pPr>
      <w:r>
        <w:t>Location must satisfy the configured geofence/tolerance.</w:t>
      </w:r>
    </w:p>
    <w:p>
      <w:pPr>
        <w:pStyle w:val="ListBullet"/>
      </w:pPr>
      <w:r>
        <w:t>Timestamp must be recorded.</w:t>
      </w:r>
    </w:p>
    <w:p>
      <w:pPr>
        <w:pStyle w:val="ListBullet"/>
      </w:pPr>
      <w:r>
        <w:t>Device/session must be associated with the mission.</w:t>
      </w:r>
    </w:p>
    <w:p>
      <w:pPr>
        <w:pStyle w:val="ListBullet"/>
      </w:pPr>
      <w:r>
        <w:t>Technical failures use controlled exception workflows.</w:t>
      </w:r>
    </w:p>
    <w:p>
      <w:pPr>
        <w:pStyle w:val="ListBullet"/>
      </w:pPr>
      <w:r>
        <w:t>No manual override may fabricate a successful check-in.</w:t>
      </w:r>
    </w:p>
    <w:p>
      <w:pPr>
        <w:pStyle w:val="Heading1"/>
      </w:pPr>
      <w:r>
        <w:t>9. Evidence Policy</w:t>
      </w:r>
    </w:p>
    <w:p>
      <w:r>
        <w:t>Evidence is an operational record, not merely an attachment.</w:t>
      </w:r>
    </w:p>
    <w:p>
      <w:pPr>
        <w:pStyle w:val="ListBullet"/>
      </w:pPr>
      <w:r>
        <w:t>Capture only what is necessary.</w:t>
      </w:r>
    </w:p>
    <w:p>
      <w:pPr>
        <w:pStyle w:val="ListBullet"/>
      </w:pPr>
      <w:r>
        <w:t>Use the FieldForce capture workflow where required.</w:t>
      </w:r>
    </w:p>
    <w:p>
      <w:pPr>
        <w:pStyle w:val="ListBullet"/>
      </w:pPr>
      <w:r>
        <w:t>Preserve provenance.</w:t>
      </w:r>
    </w:p>
    <w:p>
      <w:pPr>
        <w:pStyle w:val="ListBullet"/>
      </w:pPr>
      <w:r>
        <w:t>Do not reuse evidence from another mission.</w:t>
      </w:r>
    </w:p>
    <w:p>
      <w:pPr>
        <w:pStyle w:val="ListBullet"/>
      </w:pPr>
      <w:r>
        <w:t>Do not materially alter evidence to misrepresent conditions.</w:t>
      </w:r>
    </w:p>
    <w:p>
      <w:pPr>
        <w:pStyle w:val="ListBullet"/>
      </w:pPr>
      <w:r>
        <w:t>Upload through approved channels.</w:t>
      </w:r>
    </w:p>
    <w:p>
      <w:pPr>
        <w:pStyle w:val="ListBullet"/>
      </w:pPr>
      <w:r>
        <w:t>Report missing or unusable evidence immediately.</w:t>
      </w:r>
    </w:p>
    <w:p>
      <w:pPr>
        <w:pStyle w:val="Heading1"/>
      </w:pPr>
      <w:r>
        <w:t>10. Evidence Custody</w:t>
      </w:r>
    </w:p>
    <w:p>
      <w:r>
        <w:t>Every evidence item should maintain mission, agent, device/session, timestamp, GPS context where relevant, upload status, validation status, and audit history.</w:t>
      </w:r>
    </w:p>
    <w:p>
      <w:r>
        <w:t>Access to evidence must follow client and role permissions.</w:t>
      </w:r>
    </w:p>
    <w:p>
      <w:pPr>
        <w:pStyle w:val="Heading1"/>
      </w:pPr>
      <w:r>
        <w:t>11. Offline Policy</w:t>
      </w:r>
    </w:p>
    <w:p>
      <w:r>
        <w:t>Offline execution is permitted only through the approved offline workflow.</w:t>
      </w:r>
    </w:p>
    <w:p>
      <w:pPr>
        <w:pStyle w:val="ListBullet"/>
      </w:pPr>
      <w:r>
        <w:t>Mission package must be securely cached.</w:t>
      </w:r>
    </w:p>
    <w:p>
      <w:pPr>
        <w:pStyle w:val="ListBullet"/>
      </w:pPr>
      <w:r>
        <w:t>Events must be queued with idempotency keys.</w:t>
      </w:r>
    </w:p>
    <w:p>
      <w:pPr>
        <w:pStyle w:val="ListBullet"/>
      </w:pPr>
      <w:r>
        <w:t>Evidence must retain provenance.</w:t>
      </w:r>
    </w:p>
    <w:p>
      <w:pPr>
        <w:pStyle w:val="ListBullet"/>
      </w:pPr>
      <w:r>
        <w:t>Sync occurs when connectivity returns.</w:t>
      </w:r>
    </w:p>
    <w:p>
      <w:pPr>
        <w:pStyle w:val="ListBullet"/>
      </w:pPr>
      <w:r>
        <w:t>Conflicts are resolved through controlled logic.</w:t>
      </w:r>
    </w:p>
    <w:p>
      <w:pPr>
        <w:pStyle w:val="ListBullet"/>
      </w:pPr>
      <w:r>
        <w:t>Agents must not create duplicate submissions to bypass sync problems.</w:t>
      </w:r>
    </w:p>
    <w:p>
      <w:pPr>
        <w:pStyle w:val="Heading1"/>
      </w:pPr>
      <w:r>
        <w:t>12. Safety Policy</w:t>
      </w:r>
    </w:p>
    <w:p>
      <w:r>
        <w:t>An agent may stop or pause a mission when conditions create a credible safety risk.</w:t>
      </w:r>
    </w:p>
    <w:p>
      <w:pPr>
        <w:pStyle w:val="ListBullet"/>
      </w:pPr>
      <w:r>
        <w:t>Unsafe environment</w:t>
      </w:r>
    </w:p>
    <w:p>
      <w:pPr>
        <w:pStyle w:val="ListBullet"/>
      </w:pPr>
      <w:r>
        <w:t>Threat or intimidation</w:t>
      </w:r>
    </w:p>
    <w:p>
      <w:pPr>
        <w:pStyle w:val="ListBullet"/>
      </w:pPr>
      <w:r>
        <w:t>Unexpected hazardous condition</w:t>
      </w:r>
    </w:p>
    <w:p>
      <w:pPr>
        <w:pStyle w:val="ListBullet"/>
      </w:pPr>
      <w:r>
        <w:t>Unapproved confrontation</w:t>
      </w:r>
    </w:p>
    <w:p>
      <w:pPr>
        <w:pStyle w:val="ListBullet"/>
      </w:pPr>
      <w:r>
        <w:t>Serious health/safety concern</w:t>
      </w:r>
    </w:p>
    <w:p>
      <w:pPr>
        <w:pStyle w:val="ListBullet"/>
      </w:pPr>
      <w:r>
        <w:t>Mission location materially different from approved scope</w:t>
      </w:r>
    </w:p>
    <w:p>
      <w:r>
        <w:t>No performance penalty should be automatically applied for a good-faith safety escalation.</w:t>
      </w:r>
    </w:p>
    <w:p>
      <w:pPr>
        <w:pStyle w:val="Heading1"/>
      </w:pPr>
      <w:r>
        <w:t>13. Escalation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Trigger</w:t>
            </w:r>
          </w:p>
        </w:tc>
        <w:tc>
          <w:tcPr>
            <w:tcW w:type="dxa" w:w="3408"/>
          </w:tcPr>
          <w:p>
            <w:r>
              <w:t>Agent action</w:t>
            </w:r>
          </w:p>
        </w:tc>
        <w:tc>
          <w:tcPr>
            <w:tcW w:type="dxa" w:w="3408"/>
          </w:tcPr>
          <w:p>
            <w:r>
              <w:t>Operations action</w:t>
            </w:r>
          </w:p>
        </w:tc>
      </w:tr>
      <w:tr>
        <w:tc>
          <w:tcPr>
            <w:tcW w:type="dxa" w:w="3408"/>
          </w:tcPr>
          <w:p>
            <w:r>
              <w:t>Scope mismatch</w:t>
            </w:r>
          </w:p>
        </w:tc>
        <w:tc>
          <w:tcPr>
            <w:tcW w:type="dxa" w:w="3408"/>
          </w:tcPr>
          <w:p>
            <w:r>
              <w:t>Pause and report</w:t>
            </w:r>
          </w:p>
        </w:tc>
        <w:tc>
          <w:tcPr>
            <w:tcW w:type="dxa" w:w="3408"/>
          </w:tcPr>
          <w:p>
            <w:r>
              <w:t>Clarify/authorize</w:t>
            </w:r>
          </w:p>
        </w:tc>
      </w:tr>
      <w:tr>
        <w:tc>
          <w:tcPr>
            <w:tcW w:type="dxa" w:w="3408"/>
          </w:tcPr>
          <w:p>
            <w:r>
              <w:t>Unsafe condition</w:t>
            </w:r>
          </w:p>
        </w:tc>
        <w:tc>
          <w:tcPr>
            <w:tcW w:type="dxa" w:w="3408"/>
          </w:tcPr>
          <w:p>
            <w:r>
              <w:t>Stop/pause</w:t>
            </w:r>
          </w:p>
        </w:tc>
        <w:tc>
          <w:tcPr>
            <w:tcW w:type="dxa" w:w="3408"/>
          </w:tcPr>
          <w:p>
            <w:r>
              <w:t>Safety response</w:t>
            </w:r>
          </w:p>
        </w:tc>
      </w:tr>
      <w:tr>
        <w:tc>
          <w:tcPr>
            <w:tcW w:type="dxa" w:w="3408"/>
          </w:tcPr>
          <w:p>
            <w:r>
              <w:t>Beneficiary unavailable</w:t>
            </w:r>
          </w:p>
        </w:tc>
        <w:tc>
          <w:tcPr>
            <w:tcW w:type="dxa" w:w="3408"/>
          </w:tcPr>
          <w:p>
            <w:r>
              <w:t>Follow approved contact flow</w:t>
            </w:r>
          </w:p>
        </w:tc>
        <w:tc>
          <w:tcPr>
            <w:tcW w:type="dxa" w:w="3408"/>
          </w:tcPr>
          <w:p>
            <w:r>
              <w:t>Resolve/escalate</w:t>
            </w:r>
          </w:p>
        </w:tc>
      </w:tr>
      <w:tr>
        <w:tc>
          <w:tcPr>
            <w:tcW w:type="dxa" w:w="3408"/>
          </w:tcPr>
          <w:p>
            <w:r>
              <w:t>GPS failure</w:t>
            </w:r>
          </w:p>
        </w:tc>
        <w:tc>
          <w:tcPr>
            <w:tcW w:type="dxa" w:w="3408"/>
          </w:tcPr>
          <w:p>
            <w:r>
              <w:t>Use exception workflow</w:t>
            </w:r>
          </w:p>
        </w:tc>
        <w:tc>
          <w:tcPr>
            <w:tcW w:type="dxa" w:w="3408"/>
          </w:tcPr>
          <w:p>
            <w:r>
              <w:t>Validate/assist</w:t>
            </w:r>
          </w:p>
        </w:tc>
      </w:tr>
      <w:tr>
        <w:tc>
          <w:tcPr>
            <w:tcW w:type="dxa" w:w="3408"/>
          </w:tcPr>
          <w:p>
            <w:r>
              <w:t>Missing required item</w:t>
            </w:r>
          </w:p>
        </w:tc>
        <w:tc>
          <w:tcPr>
            <w:tcW w:type="dxa" w:w="3408"/>
          </w:tcPr>
          <w:p>
            <w:r>
              <w:t>Record blocker</w:t>
            </w:r>
          </w:p>
        </w:tc>
        <w:tc>
          <w:tcPr>
            <w:tcW w:type="dxa" w:w="3408"/>
          </w:tcPr>
          <w:p>
            <w:r>
              <w:t>Client/Operations resolution</w:t>
            </w:r>
          </w:p>
        </w:tc>
      </w:tr>
      <w:tr>
        <w:tc>
          <w:tcPr>
            <w:tcW w:type="dxa" w:w="3408"/>
          </w:tcPr>
          <w:p>
            <w:r>
              <w:t>Technical outage</w:t>
            </w:r>
          </w:p>
        </w:tc>
        <w:tc>
          <w:tcPr>
            <w:tcW w:type="dxa" w:w="3408"/>
          </w:tcPr>
          <w:p>
            <w:r>
              <w:t>Continue approved offline workflow</w:t>
            </w:r>
          </w:p>
        </w:tc>
        <w:tc>
          <w:tcPr>
            <w:tcW w:type="dxa" w:w="3408"/>
          </w:tcPr>
          <w:p>
            <w:r>
              <w:t>Support/reconcile</w:t>
            </w:r>
          </w:p>
        </w:tc>
      </w:tr>
      <w:tr>
        <w:tc>
          <w:tcPr>
            <w:tcW w:type="dxa" w:w="3408"/>
          </w:tcPr>
          <w:p>
            <w:r>
              <w:t>Prohibited request</w:t>
            </w:r>
          </w:p>
        </w:tc>
        <w:tc>
          <w:tcPr>
            <w:tcW w:type="dxa" w:w="3408"/>
          </w:tcPr>
          <w:p>
            <w:r>
              <w:t>Decline</w:t>
            </w:r>
          </w:p>
        </w:tc>
        <w:tc>
          <w:tcPr>
            <w:tcW w:type="dxa" w:w="3408"/>
          </w:tcPr>
          <w:p>
            <w:r>
              <w:t>Escalate</w:t>
            </w:r>
          </w:p>
        </w:tc>
      </w:tr>
      <w:tr>
        <w:tc>
          <w:tcPr>
            <w:tcW w:type="dxa" w:w="3408"/>
          </w:tcPr>
          <w:p>
            <w:r>
              <w:t>Potential fraud</w:t>
            </w:r>
          </w:p>
        </w:tc>
        <w:tc>
          <w:tcPr>
            <w:tcW w:type="dxa" w:w="3408"/>
          </w:tcPr>
          <w:p>
            <w:r>
              <w:t>Preserve evidence; do not confront</w:t>
            </w:r>
          </w:p>
        </w:tc>
        <w:tc>
          <w:tcPr>
            <w:tcW w:type="dxa" w:w="3408"/>
          </w:tcPr>
          <w:p>
            <w:r>
              <w:t>Trust review</w:t>
            </w:r>
          </w:p>
        </w:tc>
      </w:tr>
    </w:tbl>
    <w:p>
      <w:pPr>
        <w:pStyle w:val="Heading1"/>
      </w:pPr>
      <w:r>
        <w:t>14. Reassignment Policy</w:t>
      </w:r>
    </w:p>
    <w:p>
      <w:r>
        <w:t>Operations may reassign a mission when the assigned agent cannot complete it, subject to policy and client SLA.</w:t>
      </w:r>
    </w:p>
    <w:p>
      <w:pPr>
        <w:pStyle w:val="ListBullet"/>
      </w:pPr>
      <w:r>
        <w:t>Record reason.</w:t>
      </w:r>
    </w:p>
    <w:p>
      <w:pPr>
        <w:pStyle w:val="ListBullet"/>
      </w:pPr>
      <w:r>
        <w:t>Protect evidence already captured.</w:t>
      </w:r>
    </w:p>
    <w:p>
      <w:pPr>
        <w:pStyle w:val="ListBullet"/>
      </w:pPr>
      <w:r>
        <w:t>Preserve audit history.</w:t>
      </w:r>
    </w:p>
    <w:p>
      <w:pPr>
        <w:pStyle w:val="ListBullet"/>
      </w:pPr>
      <w:r>
        <w:t>Calculate payout for completed work where applicable.</w:t>
      </w:r>
    </w:p>
    <w:p>
      <w:pPr>
        <w:pStyle w:val="ListBullet"/>
      </w:pPr>
      <w:r>
        <w:t>Notify relevant parties.</w:t>
      </w:r>
    </w:p>
    <w:p>
      <w:pPr>
        <w:pStyle w:val="ListBullet"/>
      </w:pPr>
      <w:r>
        <w:t>Avoid exposing unnecessary client information.</w:t>
      </w:r>
    </w:p>
    <w:p>
      <w:pPr>
        <w:pStyle w:val="Heading1"/>
      </w:pPr>
      <w:r>
        <w:t>15. Cancellation Policy</w:t>
      </w:r>
    </w:p>
    <w:p>
      <w:r>
        <w:t>Cancellation must be classified by cause.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Cause</w:t>
            </w:r>
          </w:p>
        </w:tc>
        <w:tc>
          <w:tcPr>
            <w:tcW w:type="dxa" w:w="5112"/>
          </w:tcPr>
          <w:p>
            <w:r>
              <w:t>Control</w:t>
            </w:r>
          </w:p>
        </w:tc>
      </w:tr>
      <w:tr>
        <w:tc>
          <w:tcPr>
            <w:tcW w:type="dxa" w:w="5112"/>
          </w:tcPr>
          <w:p>
            <w:r>
              <w:t>Client cancellation</w:t>
            </w:r>
          </w:p>
        </w:tc>
        <w:tc>
          <w:tcPr>
            <w:tcW w:type="dxa" w:w="5112"/>
          </w:tcPr>
          <w:p>
            <w:r>
              <w:t>Record timing and applicable fee</w:t>
            </w:r>
          </w:p>
        </w:tc>
      </w:tr>
      <w:tr>
        <w:tc>
          <w:tcPr>
            <w:tcW w:type="dxa" w:w="5112"/>
          </w:tcPr>
          <w:p>
            <w:r>
              <w:t>Agent emergency</w:t>
            </w:r>
          </w:p>
        </w:tc>
        <w:tc>
          <w:tcPr>
            <w:tcW w:type="dxa" w:w="5112"/>
          </w:tcPr>
          <w:p>
            <w:r>
              <w:t>Review context; protect safety</w:t>
            </w:r>
          </w:p>
        </w:tc>
      </w:tr>
      <w:tr>
        <w:tc>
          <w:tcPr>
            <w:tcW w:type="dxa" w:w="5112"/>
          </w:tcPr>
          <w:p>
            <w:r>
              <w:t>Agent unjustified cancellation</w:t>
            </w:r>
          </w:p>
        </w:tc>
        <w:tc>
          <w:tcPr>
            <w:tcW w:type="dxa" w:w="5112"/>
          </w:tcPr>
          <w:p>
            <w:r>
              <w:t>Performance review</w:t>
            </w:r>
          </w:p>
        </w:tc>
      </w:tr>
      <w:tr>
        <w:tc>
          <w:tcPr>
            <w:tcW w:type="dxa" w:w="5112"/>
          </w:tcPr>
          <w:p>
            <w:r>
              <w:t>Operational failure</w:t>
            </w:r>
          </w:p>
        </w:tc>
        <w:tc>
          <w:tcPr>
            <w:tcW w:type="dxa" w:w="5112"/>
          </w:tcPr>
          <w:p>
            <w:r>
              <w:t>Operations root-cause review</w:t>
            </w:r>
          </w:p>
        </w:tc>
      </w:tr>
      <w:tr>
        <w:tc>
          <w:tcPr>
            <w:tcW w:type="dxa" w:w="5112"/>
          </w:tcPr>
          <w:p>
            <w:r>
              <w:t>Safety cancellation</w:t>
            </w:r>
          </w:p>
        </w:tc>
        <w:tc>
          <w:tcPr>
            <w:tcW w:type="dxa" w:w="5112"/>
          </w:tcPr>
          <w:p>
            <w:r>
              <w:t>Support and incident review</w:t>
            </w:r>
          </w:p>
        </w:tc>
      </w:tr>
      <w:tr>
        <w:tc>
          <w:tcPr>
            <w:tcW w:type="dxa" w:w="5112"/>
          </w:tcPr>
          <w:p>
            <w:r>
              <w:t>Regulatory/legal restriction</w:t>
            </w:r>
          </w:p>
        </w:tc>
        <w:tc>
          <w:tcPr>
            <w:tcW w:type="dxa" w:w="5112"/>
          </w:tcPr>
          <w:p>
            <w:r>
              <w:t>Stop and escalate</w:t>
            </w:r>
          </w:p>
        </w:tc>
      </w:tr>
    </w:tbl>
    <w:p>
      <w:pPr>
        <w:pStyle w:val="Heading1"/>
      </w:pPr>
      <w:r>
        <w:t>16. Quality Control Policy</w:t>
      </w:r>
    </w:p>
    <w:p>
      <w:r>
        <w:t>QC must be independent enough from the agent execution process to identify failures objectively.</w:t>
      </w:r>
    </w:p>
    <w:p>
      <w:pPr>
        <w:pStyle w:val="ListBullet"/>
      </w:pPr>
      <w:r>
        <w:t>Validate scope.</w:t>
      </w:r>
    </w:p>
    <w:p>
      <w:pPr>
        <w:pStyle w:val="ListBullet"/>
      </w:pPr>
      <w:r>
        <w:t>Validate checklist.</w:t>
      </w:r>
    </w:p>
    <w:p>
      <w:pPr>
        <w:pStyle w:val="ListBullet"/>
      </w:pPr>
      <w:r>
        <w:t>Validate evidence.</w:t>
      </w:r>
    </w:p>
    <w:p>
      <w:pPr>
        <w:pStyle w:val="ListBullet"/>
      </w:pPr>
      <w:r>
        <w:t>Validate location/time where required.</w:t>
      </w:r>
    </w:p>
    <w:p>
      <w:pPr>
        <w:pStyle w:val="ListBullet"/>
      </w:pPr>
      <w:r>
        <w:t>Validate SLA.</w:t>
      </w:r>
    </w:p>
    <w:p>
      <w:pPr>
        <w:pStyle w:val="ListBullet"/>
      </w:pPr>
      <w:r>
        <w:t>Validate client-specific requirements.</w:t>
      </w:r>
    </w:p>
    <w:p>
      <w:pPr>
        <w:pStyle w:val="ListBullet"/>
      </w:pPr>
      <w:r>
        <w:t>Record decision and reason code.</w:t>
      </w:r>
    </w:p>
    <w:p>
      <w:pPr>
        <w:pStyle w:val="Heading1"/>
      </w:pPr>
      <w:r>
        <w:t>17. QC Decision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Outcome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Approved</w:t>
            </w:r>
          </w:p>
        </w:tc>
        <w:tc>
          <w:tcPr>
            <w:tcW w:type="dxa" w:w="5112"/>
          </w:tcPr>
          <w:p>
            <w:r>
              <w:t>All critical requirements met</w:t>
            </w:r>
          </w:p>
        </w:tc>
      </w:tr>
      <w:tr>
        <w:tc>
          <w:tcPr>
            <w:tcW w:type="dxa" w:w="5112"/>
          </w:tcPr>
          <w:p>
            <w:r>
              <w:t>Approved with exception</w:t>
            </w:r>
          </w:p>
        </w:tc>
        <w:tc>
          <w:tcPr>
            <w:tcW w:type="dxa" w:w="5112"/>
          </w:tcPr>
          <w:p>
            <w:r>
              <w:t>Minor documented issue accepted</w:t>
            </w:r>
          </w:p>
        </w:tc>
      </w:tr>
      <w:tr>
        <w:tc>
          <w:tcPr>
            <w:tcW w:type="dxa" w:w="5112"/>
          </w:tcPr>
          <w:p>
            <w:r>
              <w:t>Rework</w:t>
            </w:r>
          </w:p>
        </w:tc>
        <w:tc>
          <w:tcPr>
            <w:tcW w:type="dxa" w:w="5112"/>
          </w:tcPr>
          <w:p>
            <w:r>
              <w:t>Correctable deficiency</w:t>
            </w:r>
          </w:p>
        </w:tc>
      </w:tr>
      <w:tr>
        <w:tc>
          <w:tcPr>
            <w:tcW w:type="dxa" w:w="5112"/>
          </w:tcPr>
          <w:p>
            <w:r>
              <w:t>Rejected</w:t>
            </w:r>
          </w:p>
        </w:tc>
        <w:tc>
          <w:tcPr>
            <w:tcW w:type="dxa" w:w="5112"/>
          </w:tcPr>
          <w:p>
            <w:r>
              <w:t>Material failure</w:t>
            </w:r>
          </w:p>
        </w:tc>
      </w:tr>
      <w:tr>
        <w:tc>
          <w:tcPr>
            <w:tcW w:type="dxa" w:w="5112"/>
          </w:tcPr>
          <w:p>
            <w:r>
              <w:t>Investigation</w:t>
            </w:r>
          </w:p>
        </w:tc>
        <w:tc>
          <w:tcPr>
            <w:tcW w:type="dxa" w:w="5112"/>
          </w:tcPr>
          <w:p>
            <w:r>
              <w:t>Potential integrity/safety/data issue</w:t>
            </w:r>
          </w:p>
        </w:tc>
      </w:tr>
    </w:tbl>
    <w:p>
      <w:r>
        <w:t>Critical failures should not be hidden inside an 'approved with exception' status.</w:t>
      </w:r>
    </w:p>
    <w:p>
      <w:pPr>
        <w:pStyle w:val="Heading1"/>
      </w:pPr>
      <w:r>
        <w:t>18. Rework Policy</w:t>
      </w:r>
    </w:p>
    <w:p>
      <w:r>
        <w:t>Rework must identify what failed and whether correction requires another site visit.</w:t>
      </w:r>
    </w:p>
    <w:p>
      <w:pPr>
        <w:pStyle w:val="ListBullet"/>
      </w:pPr>
      <w:r>
        <w:t>Remote correction</w:t>
      </w:r>
    </w:p>
    <w:p>
      <w:pPr>
        <w:pStyle w:val="ListBullet"/>
      </w:pPr>
      <w:r>
        <w:t>Additional evidence while on site</w:t>
      </w:r>
    </w:p>
    <w:p>
      <w:pPr>
        <w:pStyle w:val="ListBullet"/>
      </w:pPr>
      <w:r>
        <w:t>New site visit</w:t>
      </w:r>
    </w:p>
    <w:p>
      <w:pPr>
        <w:pStyle w:val="ListBullet"/>
      </w:pPr>
      <w:r>
        <w:t>Scope clarification</w:t>
      </w:r>
    </w:p>
    <w:p>
      <w:pPr>
        <w:pStyle w:val="ListBullet"/>
      </w:pPr>
      <w:r>
        <w:t>Training/coaching</w:t>
      </w:r>
    </w:p>
    <w:p>
      <w:r>
        <w:t>The agent's responsibility and additional payout must be determined using documented rules.</w:t>
      </w:r>
    </w:p>
    <w:p>
      <w:pPr>
        <w:pStyle w:val="Heading1"/>
      </w:pPr>
      <w:r>
        <w:t>19. Agent Performance Policy</w:t>
      </w:r>
    </w:p>
    <w:p>
      <w:r>
        <w:t>Performance decisions should use objective evidence, sufficient samples, and documented reason codes.</w:t>
      </w:r>
    </w:p>
    <w:p>
      <w:pPr>
        <w:pStyle w:val="ListBullet"/>
      </w:pPr>
      <w:r>
        <w:t>Reliability</w:t>
      </w:r>
    </w:p>
    <w:p>
      <w:pPr>
        <w:pStyle w:val="ListBullet"/>
      </w:pPr>
      <w:r>
        <w:t>Timeliness</w:t>
      </w:r>
    </w:p>
    <w:p>
      <w:pPr>
        <w:pStyle w:val="ListBullet"/>
      </w:pPr>
      <w:r>
        <w:t>QC</w:t>
      </w:r>
    </w:p>
    <w:p>
      <w:pPr>
        <w:pStyle w:val="ListBullet"/>
      </w:pPr>
      <w:r>
        <w:t>Evidence quality</w:t>
      </w:r>
    </w:p>
    <w:p>
      <w:pPr>
        <w:pStyle w:val="ListBullet"/>
      </w:pPr>
      <w:r>
        <w:t>Safety</w:t>
      </w:r>
    </w:p>
    <w:p>
      <w:pPr>
        <w:pStyle w:val="ListBullet"/>
      </w:pPr>
      <w:r>
        <w:t>Communication</w:t>
      </w:r>
    </w:p>
    <w:p>
      <w:pPr>
        <w:pStyle w:val="ListBullet"/>
      </w:pPr>
      <w:r>
        <w:t>Mission-specific experience</w:t>
      </w:r>
    </w:p>
    <w:p>
      <w:r>
        <w:t>One isolated low-quality event should not automatically destroy a long-term performance record unless it involves a serious safety, integrity, or legal concern.</w:t>
      </w:r>
    </w:p>
    <w:p>
      <w:pPr>
        <w:pStyle w:val="Heading1"/>
      </w:pPr>
      <w:r>
        <w:t>20. Restriction &amp; Suspension</w:t>
      </w:r>
    </w:p>
    <w:p>
      <w:r>
        <w:t>Restrictions may be applied for serious or repeated policy breaches, safety concerns, integrity concerns, or unresolved verification problems.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Action</w:t>
            </w:r>
          </w:p>
        </w:tc>
        <w:tc>
          <w:tcPr>
            <w:tcW w:type="dxa" w:w="5112"/>
          </w:tcPr>
          <w:p>
            <w:r>
              <w:t>Use</w:t>
            </w:r>
          </w:p>
        </w:tc>
      </w:tr>
      <w:tr>
        <w:tc>
          <w:tcPr>
            <w:tcW w:type="dxa" w:w="5112"/>
          </w:tcPr>
          <w:p>
            <w:r>
              <w:t>Coaching</w:t>
            </w:r>
          </w:p>
        </w:tc>
        <w:tc>
          <w:tcPr>
            <w:tcW w:type="dxa" w:w="5112"/>
          </w:tcPr>
          <w:p>
            <w:r>
              <w:t>Minor correctable issue</w:t>
            </w:r>
          </w:p>
        </w:tc>
      </w:tr>
      <w:tr>
        <w:tc>
          <w:tcPr>
            <w:tcW w:type="dxa" w:w="5112"/>
          </w:tcPr>
          <w:p>
            <w:r>
              <w:t>Warning</w:t>
            </w:r>
          </w:p>
        </w:tc>
        <w:tc>
          <w:tcPr>
            <w:tcW w:type="dxa" w:w="5112"/>
          </w:tcPr>
          <w:p>
            <w:r>
              <w:t>Repeated or material issue</w:t>
            </w:r>
          </w:p>
        </w:tc>
      </w:tr>
      <w:tr>
        <w:tc>
          <w:tcPr>
            <w:tcW w:type="dxa" w:w="5112"/>
          </w:tcPr>
          <w:p>
            <w:r>
              <w:t>Temporary restriction</w:t>
            </w:r>
          </w:p>
        </w:tc>
        <w:tc>
          <w:tcPr>
            <w:tcW w:type="dxa" w:w="5112"/>
          </w:tcPr>
          <w:p>
            <w:r>
              <w:t>Risk requires reduced access</w:t>
            </w:r>
          </w:p>
        </w:tc>
      </w:tr>
      <w:tr>
        <w:tc>
          <w:tcPr>
            <w:tcW w:type="dxa" w:w="5112"/>
          </w:tcPr>
          <w:p>
            <w:r>
              <w:t>Suspension</w:t>
            </w:r>
          </w:p>
        </w:tc>
        <w:tc>
          <w:tcPr>
            <w:tcW w:type="dxa" w:w="5112"/>
          </w:tcPr>
          <w:p>
            <w:r>
              <w:t>Serious/unresolved issue</w:t>
            </w:r>
          </w:p>
        </w:tc>
      </w:tr>
      <w:tr>
        <w:tc>
          <w:tcPr>
            <w:tcW w:type="dxa" w:w="5112"/>
          </w:tcPr>
          <w:p>
            <w:r>
              <w:t>Termination</w:t>
            </w:r>
          </w:p>
        </w:tc>
        <w:tc>
          <w:tcPr>
            <w:tcW w:type="dxa" w:w="5112"/>
          </w:tcPr>
          <w:p>
            <w:r>
              <w:t>Material breach or failed relationship</w:t>
            </w:r>
          </w:p>
        </w:tc>
      </w:tr>
    </w:tbl>
    <w:p>
      <w:r>
        <w:t>Material decisions must be documented and subject to applicable appeal/review procedures.</w:t>
      </w:r>
    </w:p>
    <w:p>
      <w:pPr>
        <w:pStyle w:val="Heading1"/>
      </w:pPr>
      <w:r>
        <w:t>21. Appeals</w:t>
      </w:r>
    </w:p>
    <w:p>
      <w:r>
        <w:t>Agents may appeal material restrictions or suspension.</w:t>
      </w:r>
    </w:p>
    <w:p>
      <w:pPr>
        <w:pStyle w:val="ListBullet"/>
      </w:pPr>
      <w:r>
        <w:t>Reason for decision</w:t>
      </w:r>
    </w:p>
    <w:p>
      <w:pPr>
        <w:pStyle w:val="ListBullet"/>
      </w:pPr>
      <w:r>
        <w:t>Evidence/reason summary</w:t>
      </w:r>
    </w:p>
    <w:p>
      <w:pPr>
        <w:pStyle w:val="ListBullet"/>
      </w:pPr>
      <w:r>
        <w:t>Appeal submission</w:t>
      </w:r>
    </w:p>
    <w:p>
      <w:pPr>
        <w:pStyle w:val="ListBullet"/>
      </w:pPr>
      <w:r>
        <w:t>Review</w:t>
      </w:r>
    </w:p>
    <w:p>
      <w:pPr>
        <w:pStyle w:val="ListBullet"/>
      </w:pPr>
      <w:r>
        <w:t>Decision</w:t>
      </w:r>
    </w:p>
    <w:p>
      <w:pPr>
        <w:pStyle w:val="ListBullet"/>
      </w:pPr>
      <w:r>
        <w:t>Audit record</w:t>
      </w:r>
    </w:p>
    <w:p>
      <w:r>
        <w:t>Investigative confidentiality and client privacy must be preserved.</w:t>
      </w:r>
    </w:p>
    <w:p>
      <w:pPr>
        <w:pStyle w:val="Heading1"/>
      </w:pPr>
      <w:r>
        <w:t>22. Trust &amp; Integrity Controls</w:t>
      </w:r>
    </w:p>
    <w:p>
      <w:pPr>
        <w:pStyle w:val="ListBullet"/>
      </w:pPr>
      <w:r>
        <w:t>GPS anomaly detection</w:t>
      </w:r>
    </w:p>
    <w:p>
      <w:pPr>
        <w:pStyle w:val="ListBullet"/>
      </w:pPr>
      <w:r>
        <w:t>Impossible travel detection</w:t>
      </w:r>
    </w:p>
    <w:p>
      <w:pPr>
        <w:pStyle w:val="ListBullet"/>
      </w:pPr>
      <w:r>
        <w:t>Evidence reuse detection</w:t>
      </w:r>
    </w:p>
    <w:p>
      <w:pPr>
        <w:pStyle w:val="ListBullet"/>
      </w:pPr>
      <w:r>
        <w:t>Device switching alerts</w:t>
      </w:r>
    </w:p>
    <w:p>
      <w:pPr>
        <w:pStyle w:val="ListBullet"/>
      </w:pPr>
      <w:r>
        <w:t>Simultaneous mission detection</w:t>
      </w:r>
    </w:p>
    <w:p>
      <w:pPr>
        <w:pStyle w:val="ListBullet"/>
      </w:pPr>
      <w:r>
        <w:t>Unusual offline-sync patterns</w:t>
      </w:r>
    </w:p>
    <w:p>
      <w:pPr>
        <w:pStyle w:val="ListBullet"/>
      </w:pPr>
      <w:r>
        <w:t>Identity inconsistencies</w:t>
      </w:r>
    </w:p>
    <w:p>
      <w:pPr>
        <w:pStyle w:val="ListBullet"/>
      </w:pPr>
      <w:r>
        <w:t>Repeated cancellation anomalies</w:t>
      </w:r>
    </w:p>
    <w:p>
      <w:r>
        <w:t>Automated detection creates a review signal. Human review determines the operational outcome unless a deterministic security control must immediately block an unsafe or unauthorized action.</w:t>
      </w:r>
    </w:p>
    <w:p>
      <w:pPr>
        <w:pStyle w:val="Heading1"/>
      </w:pPr>
      <w:r>
        <w:t>23. Client Data Policy</w:t>
      </w:r>
    </w:p>
    <w:p>
      <w:r>
        <w:t>Agents receive only information necessary to execute the mission.</w:t>
      </w:r>
    </w:p>
    <w:p>
      <w:pPr>
        <w:pStyle w:val="ListBullet"/>
      </w:pPr>
      <w:r>
        <w:t>No customer payment information.</w:t>
      </w:r>
    </w:p>
    <w:p>
      <w:pPr>
        <w:pStyle w:val="ListBullet"/>
      </w:pPr>
      <w:r>
        <w:t>No unnecessary customer identity details.</w:t>
      </w:r>
    </w:p>
    <w:p>
      <w:pPr>
        <w:pStyle w:val="ListBullet"/>
      </w:pPr>
      <w:r>
        <w:t>No unrelated case history.</w:t>
      </w:r>
    </w:p>
    <w:p>
      <w:pPr>
        <w:pStyle w:val="ListBullet"/>
      </w:pPr>
      <w:r>
        <w:t>No access to other clients.</w:t>
      </w:r>
    </w:p>
    <w:p>
      <w:pPr>
        <w:pStyle w:val="ListBullet"/>
      </w:pPr>
      <w:r>
        <w:t>Beneficiary contact only where required.</w:t>
      </w:r>
    </w:p>
    <w:p>
      <w:pPr>
        <w:pStyle w:val="ListBullet"/>
      </w:pPr>
      <w:r>
        <w:t>Minimum necessary property/location information.</w:t>
      </w:r>
    </w:p>
    <w:p>
      <w:pPr>
        <w:pStyle w:val="Heading1"/>
      </w:pPr>
      <w:r>
        <w:t>24. Multi-Client Isolation</w:t>
      </w:r>
    </w:p>
    <w:p>
      <w:r>
        <w:t>FieldForce staff and systems must enforce tenant boundaries.</w:t>
      </w:r>
    </w:p>
    <w:p>
      <w:pPr>
        <w:pStyle w:val="ListBullet"/>
      </w:pPr>
      <w:r>
        <w:t>Client users see only their data.</w:t>
      </w:r>
    </w:p>
    <w:p>
      <w:pPr>
        <w:pStyle w:val="ListBullet"/>
      </w:pPr>
      <w:r>
        <w:t>Client APIs are tenant-scoped.</w:t>
      </w:r>
    </w:p>
    <w:p>
      <w:pPr>
        <w:pStyle w:val="ListBullet"/>
      </w:pPr>
      <w:r>
        <w:t>Evidence access is tenant-scoped.</w:t>
      </w:r>
    </w:p>
    <w:p>
      <w:pPr>
        <w:pStyle w:val="ListBullet"/>
      </w:pPr>
      <w:r>
        <w:t>Reports exclude unrelated clients.</w:t>
      </w:r>
    </w:p>
    <w:p>
      <w:pPr>
        <w:pStyle w:val="ListBullet"/>
      </w:pPr>
      <w:r>
        <w:t>Agent views expose only mission-relevant client information.</w:t>
      </w:r>
    </w:p>
    <w:p>
      <w:pPr>
        <w:pStyle w:val="Heading1"/>
      </w:pPr>
      <w:r>
        <w:t>25. ASOJU Data Boundary</w:t>
      </w:r>
    </w:p>
    <w:p>
      <w:r>
        <w:t>ASOJU Core remains authoritative for ASOJU customers, cases, CaseScope, and customer-facing case outcomes.</w:t>
      </w:r>
    </w:p>
    <w:p>
      <w:r>
        <w:t>FieldForce receives only the data required to execute the physical mission and returns the agreed result/evidence references through the integration boundary.</w:t>
      </w:r>
    </w:p>
    <w:p>
      <w:pPr>
        <w:pStyle w:val="Heading1"/>
      </w:pPr>
      <w:r>
        <w:t>26. ASOJU Priority Capacity</w:t>
      </w:r>
    </w:p>
    <w:p>
      <w:r>
        <w:t>FieldForce maintains agreed reserved capacity for ASOJU.</w:t>
      </w:r>
    </w:p>
    <w:p>
      <w:pPr>
        <w:pStyle w:val="ListBullet"/>
      </w:pPr>
      <w:r>
        <w:t>Critical ASOJU missions receive defined priority.</w:t>
      </w:r>
    </w:p>
    <w:p>
      <w:pPr>
        <w:pStyle w:val="ListBullet"/>
      </w:pPr>
      <w:r>
        <w:t>Reserve targets are visible to Operations.</w:t>
      </w:r>
    </w:p>
    <w:p>
      <w:pPr>
        <w:pStyle w:val="ListBullet"/>
      </w:pPr>
      <w:r>
        <w:t>External work must not consume protected ASOJU reserve without authorized exception.</w:t>
      </w:r>
    </w:p>
    <w:p>
      <w:pPr>
        <w:pStyle w:val="ListBullet"/>
      </w:pPr>
      <w:r>
        <w:t>Capacity conflicts follow documented escalation rules.</w:t>
      </w:r>
    </w:p>
    <w:p>
      <w:pPr>
        <w:pStyle w:val="Heading1"/>
      </w:pPr>
      <w:r>
        <w:t>27. External Client Controls</w:t>
      </w:r>
    </w:p>
    <w:p>
      <w:r>
        <w:t>External clients must pass onboarding and contracting controls before receiving production services.</w:t>
      </w:r>
    </w:p>
    <w:p>
      <w:pPr>
        <w:pStyle w:val="ListBullet"/>
      </w:pPr>
      <w:r>
        <w:t>Organization verification</w:t>
      </w:r>
    </w:p>
    <w:p>
      <w:pPr>
        <w:pStyle w:val="ListBullet"/>
      </w:pPr>
      <w:r>
        <w:t>Authorized users</w:t>
      </w:r>
    </w:p>
    <w:p>
      <w:pPr>
        <w:pStyle w:val="ListBullet"/>
      </w:pPr>
      <w:r>
        <w:t>Service agreement</w:t>
      </w:r>
    </w:p>
    <w:p>
      <w:pPr>
        <w:pStyle w:val="ListBullet"/>
      </w:pPr>
      <w:r>
        <w:t>Pricing/SLA</w:t>
      </w:r>
    </w:p>
    <w:p>
      <w:pPr>
        <w:pStyle w:val="ListBullet"/>
      </w:pPr>
      <w:r>
        <w:t>Data permissions</w:t>
      </w:r>
    </w:p>
    <w:p>
      <w:pPr>
        <w:pStyle w:val="ListBullet"/>
      </w:pPr>
      <w:r>
        <w:t>Billing terms</w:t>
      </w:r>
    </w:p>
    <w:p>
      <w:pPr>
        <w:pStyle w:val="ListBullet"/>
      </w:pPr>
      <w:r>
        <w:t>Escalation contacts</w:t>
      </w:r>
    </w:p>
    <w:p>
      <w:pPr>
        <w:pStyle w:val="ListBullet"/>
      </w:pPr>
      <w:r>
        <w:t>Approved service scope</w:t>
      </w:r>
    </w:p>
    <w:p>
      <w:pPr>
        <w:pStyle w:val="Heading1"/>
      </w:pPr>
      <w:r>
        <w:t>28. Pricing Control</w:t>
      </w:r>
    </w:p>
    <w:p>
      <w:r>
        <w:t>Only authorized roles may change service pricing, agent payout rules, or client-specific commercial terms.</w:t>
      </w:r>
    </w:p>
    <w:p>
      <w:pPr>
        <w:pStyle w:val="ListBullet"/>
      </w:pPr>
      <w:r>
        <w:t>Version pricing rules.</w:t>
      </w:r>
    </w:p>
    <w:p>
      <w:pPr>
        <w:pStyle w:val="ListBullet"/>
      </w:pPr>
      <w:r>
        <w:t>Record effective dates.</w:t>
      </w:r>
    </w:p>
    <w:p>
      <w:pPr>
        <w:pStyle w:val="ListBullet"/>
      </w:pPr>
      <w:r>
        <w:t>Preserve historical mission economics.</w:t>
      </w:r>
    </w:p>
    <w:p>
      <w:pPr>
        <w:pStyle w:val="ListBullet"/>
      </w:pPr>
      <w:r>
        <w:t>Require approval for exceptional discounts.</w:t>
      </w:r>
    </w:p>
    <w:p>
      <w:pPr>
        <w:pStyle w:val="ListBullet"/>
      </w:pPr>
      <w:r>
        <w:t>Prevent client-side manipulation.</w:t>
      </w:r>
    </w:p>
    <w:p>
      <w:pPr>
        <w:pStyle w:val="Heading1"/>
      </w:pPr>
      <w:r>
        <w:t>29. Payout Control</w:t>
      </w:r>
    </w:p>
    <w:p>
      <w:r>
        <w:t>Payout moves through controlled states.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State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Pending</w:t>
            </w:r>
          </w:p>
        </w:tc>
        <w:tc>
          <w:tcPr>
            <w:tcW w:type="dxa" w:w="5112"/>
          </w:tcPr>
          <w:p>
            <w:r>
              <w:t>Mission not yet financially cleared</w:t>
            </w:r>
          </w:p>
        </w:tc>
      </w:tr>
      <w:tr>
        <w:tc>
          <w:tcPr>
            <w:tcW w:type="dxa" w:w="5112"/>
          </w:tcPr>
          <w:p>
            <w:r>
              <w:t>QC Cleared</w:t>
            </w:r>
          </w:p>
        </w:tc>
        <w:tc>
          <w:tcPr>
            <w:tcW w:type="dxa" w:w="5112"/>
          </w:tcPr>
          <w:p>
            <w:r>
              <w:t>Eligible for payout</w:t>
            </w:r>
          </w:p>
        </w:tc>
      </w:tr>
      <w:tr>
        <w:tc>
          <w:tcPr>
            <w:tcW w:type="dxa" w:w="5112"/>
          </w:tcPr>
          <w:p>
            <w:r>
              <w:t>Approved</w:t>
            </w:r>
          </w:p>
        </w:tc>
        <w:tc>
          <w:tcPr>
            <w:tcW w:type="dxa" w:w="5112"/>
          </w:tcPr>
          <w:p>
            <w:r>
              <w:t>Finance/payment process authorized</w:t>
            </w:r>
          </w:p>
        </w:tc>
      </w:tr>
      <w:tr>
        <w:tc>
          <w:tcPr>
            <w:tcW w:type="dxa" w:w="5112"/>
          </w:tcPr>
          <w:p>
            <w:r>
              <w:t>Processing</w:t>
            </w:r>
          </w:p>
        </w:tc>
        <w:tc>
          <w:tcPr>
            <w:tcW w:type="dxa" w:w="5112"/>
          </w:tcPr>
          <w:p>
            <w:r>
              <w:t>Payment initiated</w:t>
            </w:r>
          </w:p>
        </w:tc>
      </w:tr>
      <w:tr>
        <w:tc>
          <w:tcPr>
            <w:tcW w:type="dxa" w:w="5112"/>
          </w:tcPr>
          <w:p>
            <w:r>
              <w:t>Paid</w:t>
            </w:r>
          </w:p>
        </w:tc>
        <w:tc>
          <w:tcPr>
            <w:tcW w:type="dxa" w:w="5112"/>
          </w:tcPr>
          <w:p>
            <w:r>
              <w:t>Confirmed settlement</w:t>
            </w:r>
          </w:p>
        </w:tc>
      </w:tr>
      <w:tr>
        <w:tc>
          <w:tcPr>
            <w:tcW w:type="dxa" w:w="5112"/>
          </w:tcPr>
          <w:p>
            <w:r>
              <w:t>Exception</w:t>
            </w:r>
          </w:p>
        </w:tc>
        <w:tc>
          <w:tcPr>
            <w:tcW w:type="dxa" w:w="5112"/>
          </w:tcPr>
          <w:p>
            <w:r>
              <w:t>Payment issue requiring review</w:t>
            </w:r>
          </w:p>
        </w:tc>
      </w:tr>
    </w:tbl>
    <w:p>
      <w:r>
        <w:t>No agent-facing balance should be shown as cleared before authoritative clearance.</w:t>
      </w:r>
    </w:p>
    <w:p>
      <w:pPr>
        <w:pStyle w:val="Heading1"/>
      </w:pPr>
      <w:r>
        <w:t>30. Expense Control</w:t>
      </w:r>
    </w:p>
    <w:p>
      <w:r>
        <w:t>Only defined reimbursable expenses qualify.</w:t>
      </w:r>
    </w:p>
    <w:p>
      <w:pPr>
        <w:pStyle w:val="ListBullet"/>
      </w:pPr>
      <w:r>
        <w:t>Pre-approved expense categories</w:t>
      </w:r>
    </w:p>
    <w:p>
      <w:pPr>
        <w:pStyle w:val="ListBullet"/>
      </w:pPr>
      <w:r>
        <w:t>Receipt/evidence requirements</w:t>
      </w:r>
    </w:p>
    <w:p>
      <w:pPr>
        <w:pStyle w:val="ListBullet"/>
      </w:pPr>
      <w:r>
        <w:t>Approval thresholds</w:t>
      </w:r>
    </w:p>
    <w:p>
      <w:pPr>
        <w:pStyle w:val="ListBullet"/>
      </w:pPr>
      <w:r>
        <w:t>Duplicate detection</w:t>
      </w:r>
    </w:p>
    <w:p>
      <w:pPr>
        <w:pStyle w:val="ListBullet"/>
      </w:pPr>
      <w:r>
        <w:t>Client-specific expense rules</w:t>
      </w:r>
    </w:p>
    <w:p>
      <w:pPr>
        <w:pStyle w:val="ListBullet"/>
      </w:pPr>
      <w:r>
        <w:t>Audit trail</w:t>
      </w:r>
    </w:p>
    <w:p>
      <w:pPr>
        <w:pStyle w:val="Heading1"/>
      </w:pPr>
      <w:r>
        <w:t>31. Safety &amp; Incident Reporting</w:t>
      </w:r>
    </w:p>
    <w:p>
      <w:r>
        <w:t>Every material safety incident should create an incident record.</w:t>
      </w:r>
    </w:p>
    <w:p>
      <w:pPr>
        <w:pStyle w:val="ListBullet"/>
      </w:pPr>
      <w:r>
        <w:t>Mission</w:t>
      </w:r>
    </w:p>
    <w:p>
      <w:pPr>
        <w:pStyle w:val="ListBullet"/>
      </w:pPr>
      <w:r>
        <w:t>Agent</w:t>
      </w:r>
    </w:p>
    <w:p>
      <w:pPr>
        <w:pStyle w:val="ListBullet"/>
      </w:pPr>
      <w:r>
        <w:t>Time</w:t>
      </w:r>
    </w:p>
    <w:p>
      <w:pPr>
        <w:pStyle w:val="ListBullet"/>
      </w:pPr>
      <w:r>
        <w:t>Location</w:t>
      </w:r>
    </w:p>
    <w:p>
      <w:pPr>
        <w:pStyle w:val="ListBullet"/>
      </w:pPr>
      <w:r>
        <w:t>Description</w:t>
      </w:r>
    </w:p>
    <w:p>
      <w:pPr>
        <w:pStyle w:val="ListBullet"/>
      </w:pPr>
      <w:r>
        <w:t>Immediate action</w:t>
      </w:r>
    </w:p>
    <w:p>
      <w:pPr>
        <w:pStyle w:val="ListBullet"/>
      </w:pPr>
      <w:r>
        <w:t>Operations response</w:t>
      </w:r>
    </w:p>
    <w:p>
      <w:pPr>
        <w:pStyle w:val="ListBullet"/>
      </w:pPr>
      <w:r>
        <w:t>Outcome</w:t>
      </w:r>
    </w:p>
    <w:p>
      <w:pPr>
        <w:pStyle w:val="ListBullet"/>
      </w:pPr>
      <w:r>
        <w:t>Follow-up</w:t>
      </w:r>
    </w:p>
    <w:p>
      <w:pPr>
        <w:pStyle w:val="ListBullet"/>
      </w:pPr>
      <w:r>
        <w:t>Risk classification</w:t>
      </w:r>
    </w:p>
    <w:p>
      <w:r>
        <w:t>Incident information should be restricted to authorized roles.</w:t>
      </w:r>
    </w:p>
    <w:p>
      <w:pPr>
        <w:pStyle w:val="Heading1"/>
      </w:pPr>
      <w:r>
        <w:t>32. Privacy &amp; Data Retention</w:t>
      </w:r>
    </w:p>
    <w:p>
      <w:r>
        <w:t>Retain information only as long as needed for legal, contractual, operational, financial, safety, audit, or dispute purposes.</w:t>
      </w:r>
    </w:p>
    <w:p>
      <w:pPr>
        <w:pStyle w:val="ListBullet"/>
      </w:pPr>
      <w:r>
        <w:t>Define retention by data class.</w:t>
      </w:r>
    </w:p>
    <w:p>
      <w:pPr>
        <w:pStyle w:val="ListBullet"/>
      </w:pPr>
      <w:r>
        <w:t>Secure deletion where applicable.</w:t>
      </w:r>
    </w:p>
    <w:p>
      <w:pPr>
        <w:pStyle w:val="ListBullet"/>
      </w:pPr>
      <w:r>
        <w:t>Restrict historical location access.</w:t>
      </w:r>
    </w:p>
    <w:p>
      <w:pPr>
        <w:pStyle w:val="ListBullet"/>
      </w:pPr>
      <w:r>
        <w:t>Protect identity/KYC records.</w:t>
      </w:r>
    </w:p>
    <w:p>
      <w:pPr>
        <w:pStyle w:val="ListBullet"/>
      </w:pPr>
      <w:r>
        <w:t>Maintain evidence retention rules.</w:t>
      </w:r>
    </w:p>
    <w:p>
      <w:pPr>
        <w:pStyle w:val="Heading1"/>
      </w:pPr>
      <w:r>
        <w:t>33. Device &amp; Session Controls</w:t>
      </w:r>
    </w:p>
    <w:p>
      <w:pPr>
        <w:pStyle w:val="ListBullet"/>
      </w:pPr>
      <w:r>
        <w:t>Trusted device registration</w:t>
      </w:r>
    </w:p>
    <w:p>
      <w:pPr>
        <w:pStyle w:val="ListBullet"/>
      </w:pPr>
      <w:r>
        <w:t>OTP/re-authentication</w:t>
      </w:r>
    </w:p>
    <w:p>
      <w:pPr>
        <w:pStyle w:val="ListBullet"/>
      </w:pPr>
      <w:r>
        <w:t>Session expiration</w:t>
      </w:r>
    </w:p>
    <w:p>
      <w:pPr>
        <w:pStyle w:val="ListBullet"/>
      </w:pPr>
      <w:r>
        <w:t>Device revocation</w:t>
      </w:r>
    </w:p>
    <w:p>
      <w:pPr>
        <w:pStyle w:val="ListBullet"/>
      </w:pPr>
      <w:r>
        <w:t>Sensitive-action confirmation</w:t>
      </w:r>
    </w:p>
    <w:p>
      <w:pPr>
        <w:pStyle w:val="ListBullet"/>
      </w:pPr>
      <w:r>
        <w:t>Suspicious login detection</w:t>
      </w:r>
    </w:p>
    <w:p>
      <w:pPr>
        <w:pStyle w:val="ListBullet"/>
      </w:pPr>
      <w:r>
        <w:t>Secure local storage</w:t>
      </w:r>
    </w:p>
    <w:p>
      <w:pPr>
        <w:pStyle w:val="Heading1"/>
      </w:pPr>
      <w:r>
        <w:t>34. Operational Overrides</w:t>
      </w:r>
    </w:p>
    <w:p>
      <w:r>
        <w:t>Overrides are exceptional controls, not normal workflow shortcuts.</w:t>
      </w:r>
    </w:p>
    <w:p>
      <w:pPr>
        <w:pStyle w:val="ListBullet"/>
      </w:pPr>
      <w:r>
        <w:t>Require authorized role.</w:t>
      </w:r>
    </w:p>
    <w:p>
      <w:pPr>
        <w:pStyle w:val="ListBullet"/>
      </w:pPr>
      <w:r>
        <w:t>Record reason.</w:t>
      </w:r>
    </w:p>
    <w:p>
      <w:pPr>
        <w:pStyle w:val="ListBullet"/>
      </w:pPr>
      <w:r>
        <w:t>Record before/after state.</w:t>
      </w:r>
    </w:p>
    <w:p>
      <w:pPr>
        <w:pStyle w:val="ListBullet"/>
      </w:pPr>
      <w:r>
        <w:t>Record timestamp.</w:t>
      </w:r>
    </w:p>
    <w:p>
      <w:pPr>
        <w:pStyle w:val="ListBullet"/>
      </w:pPr>
      <w:r>
        <w:t>Record actor.</w:t>
      </w:r>
    </w:p>
    <w:p>
      <w:pPr>
        <w:pStyle w:val="ListBullet"/>
      </w:pPr>
      <w:r>
        <w:t>Preserve audit trail.</w:t>
      </w:r>
    </w:p>
    <w:p>
      <w:pPr>
        <w:pStyle w:val="ListBullet"/>
      </w:pPr>
      <w:r>
        <w:t>Do not allow override of immutable evidence/history.</w:t>
      </w:r>
    </w:p>
    <w:p>
      <w:pPr>
        <w:pStyle w:val="Heading1"/>
      </w:pPr>
      <w:r>
        <w:t>35. Audit Trail Policy</w:t>
      </w:r>
    </w:p>
    <w:p>
      <w:r>
        <w:t>Material events must be append-only/auditable.</w:t>
      </w:r>
    </w:p>
    <w:p>
      <w:pPr>
        <w:pStyle w:val="ListBullet"/>
      </w:pPr>
      <w:r>
        <w:t>Agent lifecycle changes</w:t>
      </w:r>
    </w:p>
    <w:p>
      <w:pPr>
        <w:pStyle w:val="ListBullet"/>
      </w:pPr>
      <w:r>
        <w:t>Mission state changes</w:t>
      </w:r>
    </w:p>
    <w:p>
      <w:pPr>
        <w:pStyle w:val="ListBullet"/>
      </w:pPr>
      <w:r>
        <w:t>Assignments</w:t>
      </w:r>
    </w:p>
    <w:p>
      <w:pPr>
        <w:pStyle w:val="ListBullet"/>
      </w:pPr>
      <w:r>
        <w:t>GPS validation</w:t>
      </w:r>
    </w:p>
    <w:p>
      <w:pPr>
        <w:pStyle w:val="ListBullet"/>
      </w:pPr>
      <w:r>
        <w:t>Evidence actions</w:t>
      </w:r>
    </w:p>
    <w:p>
      <w:pPr>
        <w:pStyle w:val="ListBullet"/>
      </w:pPr>
      <w:r>
        <w:t>QC decisions</w:t>
      </w:r>
    </w:p>
    <w:p>
      <w:pPr>
        <w:pStyle w:val="ListBullet"/>
      </w:pPr>
      <w:r>
        <w:t>Payout changes</w:t>
      </w:r>
    </w:p>
    <w:p>
      <w:pPr>
        <w:pStyle w:val="ListBullet"/>
      </w:pPr>
      <w:r>
        <w:t>Suspensions</w:t>
      </w:r>
    </w:p>
    <w:p>
      <w:pPr>
        <w:pStyle w:val="ListBullet"/>
      </w:pPr>
      <w:r>
        <w:t>Overrides</w:t>
      </w:r>
    </w:p>
    <w:p>
      <w:pPr>
        <w:pStyle w:val="ListBullet"/>
      </w:pPr>
      <w:r>
        <w:t>Client access</w:t>
      </w:r>
    </w:p>
    <w:p>
      <w:pPr>
        <w:pStyle w:val="ListBullet"/>
      </w:pPr>
      <w:r>
        <w:t>Administrative changes</w:t>
      </w:r>
    </w:p>
    <w:p>
      <w:pPr>
        <w:pStyle w:val="Heading1"/>
      </w:pPr>
      <w:r>
        <w:t>36. AI Governance</w:t>
      </w:r>
    </w:p>
    <w:p>
      <w:r>
        <w:t>AI may assist with matching, evidence triage, anomaly prioritization, support classification, summaries, and forecasting.</w:t>
      </w:r>
    </w:p>
    <w:p>
      <w:r>
        <w:t>AI must not independently decide authoritative case state, fabricate evidence, validate a false GPS event, clear a payout, accuse an agent of fraud, or permanently suspend an agent.</w:t>
      </w:r>
    </w:p>
    <w:p>
      <w:pPr>
        <w:pStyle w:val="Heading1"/>
      </w:pPr>
      <w:r>
        <w:t>37. Service Policy Linkage</w:t>
      </w:r>
    </w:p>
    <w:p>
      <w:r>
        <w:t>Every mission must reference a specific version of its Service Specification. Operational controls inherit from that specification.</w:t>
      </w:r>
    </w:p>
    <w:p>
      <w:r>
        <w:t>Historical missions retain their historical rules for auditability.</w:t>
      </w:r>
    </w:p>
    <w:p>
      <w:pPr>
        <w:pStyle w:val="Heading1"/>
      </w:pPr>
      <w:r>
        <w:t>38. Operations Control Room</w:t>
      </w:r>
    </w:p>
    <w:p>
      <w:r>
        <w:t>Operations should monitor:</w:t>
      </w:r>
    </w:p>
    <w:p>
      <w:pPr>
        <w:pStyle w:val="ListBullet"/>
      </w:pPr>
      <w:r>
        <w:t>Unassigned missions</w:t>
      </w:r>
    </w:p>
    <w:p>
      <w:pPr>
        <w:pStyle w:val="ListBullet"/>
      </w:pPr>
      <w:r>
        <w:t>SLA risk</w:t>
      </w:r>
    </w:p>
    <w:p>
      <w:pPr>
        <w:pStyle w:val="ListBullet"/>
      </w:pPr>
      <w:r>
        <w:t>Agent availability</w:t>
      </w:r>
    </w:p>
    <w:p>
      <w:pPr>
        <w:pStyle w:val="ListBullet"/>
      </w:pPr>
      <w:r>
        <w:t>Active missions</w:t>
      </w:r>
    </w:p>
    <w:p>
      <w:pPr>
        <w:pStyle w:val="ListBullet"/>
      </w:pPr>
      <w:r>
        <w:t>GPS exceptions</w:t>
      </w:r>
    </w:p>
    <w:p>
      <w:pPr>
        <w:pStyle w:val="ListBullet"/>
      </w:pPr>
      <w:r>
        <w:t>Evidence queues</w:t>
      </w:r>
    </w:p>
    <w:p>
      <w:pPr>
        <w:pStyle w:val="ListBullet"/>
      </w:pPr>
      <w:r>
        <w:t>Escalations</w:t>
      </w:r>
    </w:p>
    <w:p>
      <w:pPr>
        <w:pStyle w:val="ListBullet"/>
      </w:pPr>
      <w:r>
        <w:t>Safety incidents</w:t>
      </w:r>
    </w:p>
    <w:p>
      <w:pPr>
        <w:pStyle w:val="ListBullet"/>
      </w:pPr>
      <w:r>
        <w:t>QC backlog</w:t>
      </w:r>
    </w:p>
    <w:p>
      <w:pPr>
        <w:pStyle w:val="ListBullet"/>
      </w:pPr>
      <w:r>
        <w:t>Rework</w:t>
      </w:r>
    </w:p>
    <w:p>
      <w:pPr>
        <w:pStyle w:val="ListBullet"/>
      </w:pPr>
      <w:r>
        <w:t>Payout exceptions</w:t>
      </w:r>
    </w:p>
    <w:p>
      <w:pPr>
        <w:pStyle w:val="ListBullet"/>
      </w:pPr>
      <w:r>
        <w:t>Capacity gaps</w:t>
      </w:r>
    </w:p>
    <w:p>
      <w:pPr>
        <w:pStyle w:val="Heading1"/>
      </w:pPr>
      <w:r>
        <w:t>39. Daily Control Checklist</w:t>
      </w:r>
    </w:p>
    <w:p>
      <w:pPr>
        <w:pStyle w:val="ListBullet"/>
      </w:pPr>
      <w:r>
        <w:t>Review workforce capacity.</w:t>
      </w:r>
    </w:p>
    <w:p>
      <w:pPr>
        <w:pStyle w:val="ListBullet"/>
      </w:pPr>
      <w:r>
        <w:t>Review urgent/overdue missions.</w:t>
      </w:r>
    </w:p>
    <w:p>
      <w:pPr>
        <w:pStyle w:val="ListBullet"/>
      </w:pPr>
      <w:r>
        <w:t>Review escalations and safety incidents.</w:t>
      </w:r>
    </w:p>
    <w:p>
      <w:pPr>
        <w:pStyle w:val="ListBullet"/>
      </w:pPr>
      <w:r>
        <w:t>Review QC/rework backlog.</w:t>
      </w:r>
    </w:p>
    <w:p>
      <w:pPr>
        <w:pStyle w:val="ListBullet"/>
      </w:pPr>
      <w:r>
        <w:t>Review payout exceptions.</w:t>
      </w:r>
    </w:p>
    <w:p>
      <w:pPr>
        <w:pStyle w:val="ListBullet"/>
      </w:pPr>
      <w:r>
        <w:t>Review reserve capacity.</w:t>
      </w:r>
    </w:p>
    <w:p>
      <w:pPr>
        <w:pStyle w:val="ListBullet"/>
      </w:pPr>
      <w:r>
        <w:t>Review system/queue health.</w:t>
      </w:r>
    </w:p>
    <w:p>
      <w:pPr>
        <w:pStyle w:val="Heading1"/>
      </w:pPr>
      <w:r>
        <w:t>40. Weekly Control Review</w:t>
      </w:r>
    </w:p>
    <w:p>
      <w:pPr>
        <w:pStyle w:val="ListBullet"/>
      </w:pPr>
      <w:r>
        <w:t>Agent performance</w:t>
      </w:r>
    </w:p>
    <w:p>
      <w:pPr>
        <w:pStyle w:val="ListBullet"/>
      </w:pPr>
      <w:r>
        <w:t>Coverage gaps</w:t>
      </w:r>
    </w:p>
    <w:p>
      <w:pPr>
        <w:pStyle w:val="ListBullet"/>
      </w:pPr>
      <w:r>
        <w:t>Service quality</w:t>
      </w:r>
    </w:p>
    <w:p>
      <w:pPr>
        <w:pStyle w:val="ListBullet"/>
      </w:pPr>
      <w:r>
        <w:t>SLA attainment</w:t>
      </w:r>
    </w:p>
    <w:p>
      <w:pPr>
        <w:pStyle w:val="ListBullet"/>
      </w:pPr>
      <w:r>
        <w:t>Rework trends</w:t>
      </w:r>
    </w:p>
    <w:p>
      <w:pPr>
        <w:pStyle w:val="ListBullet"/>
      </w:pPr>
      <w:r>
        <w:t>Safety incidents</w:t>
      </w:r>
    </w:p>
    <w:p>
      <w:pPr>
        <w:pStyle w:val="ListBullet"/>
      </w:pPr>
      <w:r>
        <w:t>Integrity signals</w:t>
      </w:r>
    </w:p>
    <w:p>
      <w:pPr>
        <w:pStyle w:val="ListBullet"/>
      </w:pPr>
      <w:r>
        <w:t>Client complaints</w:t>
      </w:r>
    </w:p>
    <w:p>
      <w:pPr>
        <w:pStyle w:val="ListBullet"/>
      </w:pPr>
      <w:r>
        <w:t>Payout issues</w:t>
      </w:r>
    </w:p>
    <w:p>
      <w:pPr>
        <w:pStyle w:val="ListBullet"/>
      </w:pPr>
      <w:r>
        <w:t>Training needs</w:t>
      </w:r>
    </w:p>
    <w:p>
      <w:pPr>
        <w:pStyle w:val="Heading1"/>
      </w:pPr>
      <w:r>
        <w:t>41. Monthly Governance Review</w:t>
      </w:r>
    </w:p>
    <w:p>
      <w:pPr>
        <w:pStyle w:val="ListBullet"/>
      </w:pPr>
      <w:r>
        <w:t>FieldForce P&amp;L</w:t>
      </w:r>
    </w:p>
    <w:p>
      <w:pPr>
        <w:pStyle w:val="ListBullet"/>
      </w:pPr>
      <w:r>
        <w:t>ASOJU service performance</w:t>
      </w:r>
    </w:p>
    <w:p>
      <w:pPr>
        <w:pStyle w:val="ListBullet"/>
      </w:pPr>
      <w:r>
        <w:t>External client performance</w:t>
      </w:r>
    </w:p>
    <w:p>
      <w:pPr>
        <w:pStyle w:val="ListBullet"/>
      </w:pPr>
      <w:r>
        <w:t>Workforce growth/retention</w:t>
      </w:r>
    </w:p>
    <w:p>
      <w:pPr>
        <w:pStyle w:val="ListBullet"/>
      </w:pPr>
      <w:r>
        <w:t>Capacity by geography</w:t>
      </w:r>
    </w:p>
    <w:p>
      <w:pPr>
        <w:pStyle w:val="ListBullet"/>
      </w:pPr>
      <w:r>
        <w:t>Service profitability</w:t>
      </w:r>
    </w:p>
    <w:p>
      <w:pPr>
        <w:pStyle w:val="ListBullet"/>
      </w:pPr>
      <w:r>
        <w:t>Major incidents</w:t>
      </w:r>
    </w:p>
    <w:p>
      <w:pPr>
        <w:pStyle w:val="ListBullet"/>
      </w:pPr>
      <w:r>
        <w:t>Policy exceptions</w:t>
      </w:r>
    </w:p>
    <w:p>
      <w:pPr>
        <w:pStyle w:val="ListBullet"/>
      </w:pPr>
      <w:r>
        <w:t>Technology/security risks</w:t>
      </w:r>
    </w:p>
    <w:p>
      <w:pPr>
        <w:pStyle w:val="Heading1"/>
      </w:pPr>
      <w:r>
        <w:t>42. Control Exceptions</w:t>
      </w:r>
    </w:p>
    <w:p>
      <w:r>
        <w:t>Exceptions must be recorded rather than normalized.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Exception type</w:t>
            </w:r>
          </w:p>
        </w:tc>
        <w:tc>
          <w:tcPr>
            <w:tcW w:type="dxa" w:w="5112"/>
          </w:tcPr>
          <w:p>
            <w:r>
              <w:t>Required record</w:t>
            </w:r>
          </w:p>
        </w:tc>
      </w:tr>
      <w:tr>
        <w:tc>
          <w:tcPr>
            <w:tcW w:type="dxa" w:w="5112"/>
          </w:tcPr>
          <w:p>
            <w:r>
              <w:t>Policy exception</w:t>
            </w:r>
          </w:p>
        </w:tc>
        <w:tc>
          <w:tcPr>
            <w:tcW w:type="dxa" w:w="5112"/>
          </w:tcPr>
          <w:p>
            <w:r>
              <w:t>Rule, reason, approver, duration</w:t>
            </w:r>
          </w:p>
        </w:tc>
      </w:tr>
      <w:tr>
        <w:tc>
          <w:tcPr>
            <w:tcW w:type="dxa" w:w="5112"/>
          </w:tcPr>
          <w:p>
            <w:r>
              <w:t>SLA exception</w:t>
            </w:r>
          </w:p>
        </w:tc>
        <w:tc>
          <w:tcPr>
            <w:tcW w:type="dxa" w:w="5112"/>
          </w:tcPr>
          <w:p>
            <w:r>
              <w:t>Cause, client communication, impact</w:t>
            </w:r>
          </w:p>
        </w:tc>
      </w:tr>
      <w:tr>
        <w:tc>
          <w:tcPr>
            <w:tcW w:type="dxa" w:w="5112"/>
          </w:tcPr>
          <w:p>
            <w:r>
              <w:t>Payout exception</w:t>
            </w:r>
          </w:p>
        </w:tc>
        <w:tc>
          <w:tcPr>
            <w:tcW w:type="dxa" w:w="5112"/>
          </w:tcPr>
          <w:p>
            <w:r>
              <w:t>Cause, amount, approval</w:t>
            </w:r>
          </w:p>
        </w:tc>
      </w:tr>
      <w:tr>
        <w:tc>
          <w:tcPr>
            <w:tcW w:type="dxa" w:w="5112"/>
          </w:tcPr>
          <w:p>
            <w:r>
              <w:t>Safety exception</w:t>
            </w:r>
          </w:p>
        </w:tc>
        <w:tc>
          <w:tcPr>
            <w:tcW w:type="dxa" w:w="5112"/>
          </w:tcPr>
          <w:p>
            <w:r>
              <w:t>Risk, response, outcome</w:t>
            </w:r>
          </w:p>
        </w:tc>
      </w:tr>
      <w:tr>
        <w:tc>
          <w:tcPr>
            <w:tcW w:type="dxa" w:w="5112"/>
          </w:tcPr>
          <w:p>
            <w:r>
              <w:t>Data exception</w:t>
            </w:r>
          </w:p>
        </w:tc>
        <w:tc>
          <w:tcPr>
            <w:tcW w:type="dxa" w:w="5112"/>
          </w:tcPr>
          <w:p>
            <w:r>
              <w:t>Scope, impact, mitigation</w:t>
            </w:r>
          </w:p>
        </w:tc>
      </w:tr>
      <w:tr>
        <w:tc>
          <w:tcPr>
            <w:tcW w:type="dxa" w:w="5112"/>
          </w:tcPr>
          <w:p>
            <w:r>
              <w:t>Operational override</w:t>
            </w:r>
          </w:p>
        </w:tc>
        <w:tc>
          <w:tcPr>
            <w:tcW w:type="dxa" w:w="5112"/>
          </w:tcPr>
          <w:p>
            <w:r>
              <w:t>Actor, before/after state, reason</w:t>
            </w:r>
          </w:p>
        </w:tc>
      </w:tr>
    </w:tbl>
    <w:p>
      <w:pPr>
        <w:pStyle w:val="Heading1"/>
      </w:pPr>
      <w:r>
        <w:t>43. Business Continuity</w:t>
      </w:r>
    </w:p>
    <w:p>
      <w:r>
        <w:t>FieldForce must continue critical operations during temporary service outages.</w:t>
      </w:r>
    </w:p>
    <w:p>
      <w:pPr>
        <w:pStyle w:val="ListBullet"/>
      </w:pPr>
      <w:r>
        <w:t>Offline mission execution</w:t>
      </w:r>
    </w:p>
    <w:p>
      <w:pPr>
        <w:pStyle w:val="ListBullet"/>
      </w:pPr>
      <w:r>
        <w:t>Queue-based synchronization</w:t>
      </w:r>
    </w:p>
    <w:p>
      <w:pPr>
        <w:pStyle w:val="ListBullet"/>
      </w:pPr>
      <w:r>
        <w:t>Manual Operations fallback where safe</w:t>
      </w:r>
    </w:p>
    <w:p>
      <w:pPr>
        <w:pStyle w:val="ListBullet"/>
      </w:pPr>
      <w:r>
        <w:t>Incident communication</w:t>
      </w:r>
    </w:p>
    <w:p>
      <w:pPr>
        <w:pStyle w:val="ListBullet"/>
      </w:pPr>
      <w:r>
        <w:t>Reconciliation after recovery</w:t>
      </w:r>
    </w:p>
    <w:p>
      <w:pPr>
        <w:pStyle w:val="ListBullet"/>
      </w:pPr>
      <w:r>
        <w:t>No duplicate payout or mission creation</w:t>
      </w:r>
    </w:p>
    <w:p>
      <w:pPr>
        <w:pStyle w:val="Heading1"/>
      </w:pPr>
      <w:r>
        <w:t>44. Security Incident Response</w:t>
      </w:r>
    </w:p>
    <w:p>
      <w:r>
        <w:t>Security incidents involving accounts, evidence, data, devices, or integrations must be contained, recorded, investigated, and escalated under an approved incident-response procedure.</w:t>
      </w:r>
    </w:p>
    <w:p>
      <w:pPr>
        <w:pStyle w:val="ListBullet"/>
      </w:pPr>
      <w:r>
        <w:t>Detect</w:t>
      </w:r>
    </w:p>
    <w:p>
      <w:pPr>
        <w:pStyle w:val="ListBullet"/>
      </w:pPr>
      <w:r>
        <w:t>Contain</w:t>
      </w:r>
    </w:p>
    <w:p>
      <w:pPr>
        <w:pStyle w:val="ListBullet"/>
      </w:pPr>
      <w:r>
        <w:t>Assess</w:t>
      </w:r>
    </w:p>
    <w:p>
      <w:pPr>
        <w:pStyle w:val="ListBullet"/>
      </w:pPr>
      <w:r>
        <w:t>Notify appropriate stakeholders</w:t>
      </w:r>
    </w:p>
    <w:p>
      <w:pPr>
        <w:pStyle w:val="ListBullet"/>
      </w:pPr>
      <w:r>
        <w:t>Remediate</w:t>
      </w:r>
    </w:p>
    <w:p>
      <w:pPr>
        <w:pStyle w:val="ListBullet"/>
      </w:pPr>
      <w:r>
        <w:t>Recover</w:t>
      </w:r>
    </w:p>
    <w:p>
      <w:pPr>
        <w:pStyle w:val="ListBullet"/>
      </w:pPr>
      <w:r>
        <w:t>Document lessons</w:t>
      </w:r>
    </w:p>
    <w:p>
      <w:pPr>
        <w:pStyle w:val="Heading1"/>
      </w:pPr>
      <w:r>
        <w:t>45. Policy Ownership &amp; Change Control</w:t>
      </w:r>
    </w:p>
    <w:p>
      <w:r>
        <w:t>Policies must have owners and version numbers.</w:t>
      </w:r>
    </w:p>
    <w:p>
      <w:pPr>
        <w:pStyle w:val="ListBullet"/>
      </w:pPr>
      <w:r>
        <w:t>Named policy owner</w:t>
      </w:r>
    </w:p>
    <w:p>
      <w:pPr>
        <w:pStyle w:val="ListBullet"/>
      </w:pPr>
      <w:r>
        <w:t>Approval authority</w:t>
      </w:r>
    </w:p>
    <w:p>
      <w:pPr>
        <w:pStyle w:val="ListBullet"/>
      </w:pPr>
      <w:r>
        <w:t>Effective date</w:t>
      </w:r>
    </w:p>
    <w:p>
      <w:pPr>
        <w:pStyle w:val="ListBullet"/>
      </w:pPr>
      <w:r>
        <w:t>Review date</w:t>
      </w:r>
    </w:p>
    <w:p>
      <w:pPr>
        <w:pStyle w:val="ListBullet"/>
      </w:pPr>
      <w:r>
        <w:t>Change history</w:t>
      </w:r>
    </w:p>
    <w:p>
      <w:pPr>
        <w:pStyle w:val="ListBullet"/>
      </w:pPr>
      <w:r>
        <w:t>Affected systems/workflows</w:t>
      </w:r>
    </w:p>
    <w:p>
      <w:r>
        <w:t>Engineering changes should not precede approval of the business rule they implement.</w:t>
      </w:r>
    </w:p>
    <w:p>
      <w:pPr>
        <w:pStyle w:val="Heading1"/>
      </w:pPr>
      <w:r>
        <w:t>46. Control-to-Technology Translation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Policy</w:t>
            </w:r>
          </w:p>
        </w:tc>
        <w:tc>
          <w:tcPr>
            <w:tcW w:type="dxa" w:w="5112"/>
          </w:tcPr>
          <w:p>
            <w:r>
              <w:t>Technology enforcement</w:t>
            </w:r>
          </w:p>
        </w:tc>
      </w:tr>
      <w:tr>
        <w:tc>
          <w:tcPr>
            <w:tcW w:type="dxa" w:w="5112"/>
          </w:tcPr>
          <w:p>
            <w:r>
              <w:t>Tenant isolation</w:t>
            </w:r>
          </w:p>
        </w:tc>
        <w:tc>
          <w:tcPr>
            <w:tcW w:type="dxa" w:w="5112"/>
          </w:tcPr>
          <w:p>
            <w:r>
              <w:t>Authorization middleware/database policies</w:t>
            </w:r>
          </w:p>
        </w:tc>
      </w:tr>
      <w:tr>
        <w:tc>
          <w:tcPr>
            <w:tcW w:type="dxa" w:w="5112"/>
          </w:tcPr>
          <w:p>
            <w:r>
              <w:t>GPS rule</w:t>
            </w:r>
          </w:p>
        </w:tc>
        <w:tc>
          <w:tcPr>
            <w:tcW w:type="dxa" w:w="5112"/>
          </w:tcPr>
          <w:p>
            <w:r>
              <w:t>Server-side validation</w:t>
            </w:r>
          </w:p>
        </w:tc>
      </w:tr>
      <w:tr>
        <w:tc>
          <w:tcPr>
            <w:tcW w:type="dxa" w:w="5112"/>
          </w:tcPr>
          <w:p>
            <w:r>
              <w:t>Evidence custody</w:t>
            </w:r>
          </w:p>
        </w:tc>
        <w:tc>
          <w:tcPr>
            <w:tcW w:type="dxa" w:w="5112"/>
          </w:tcPr>
          <w:p>
            <w:r>
              <w:t>Immutable metadata/audit</w:t>
            </w:r>
          </w:p>
        </w:tc>
      </w:tr>
      <w:tr>
        <w:tc>
          <w:tcPr>
            <w:tcW w:type="dxa" w:w="5112"/>
          </w:tcPr>
          <w:p>
            <w:r>
              <w:t>Payout clearance</w:t>
            </w:r>
          </w:p>
        </w:tc>
        <w:tc>
          <w:tcPr>
            <w:tcW w:type="dxa" w:w="5112"/>
          </w:tcPr>
          <w:p>
            <w:r>
              <w:t>State machine + finance authorization</w:t>
            </w:r>
          </w:p>
        </w:tc>
      </w:tr>
      <w:tr>
        <w:tc>
          <w:tcPr>
            <w:tcW w:type="dxa" w:w="5112"/>
          </w:tcPr>
          <w:p>
            <w:r>
              <w:t>Agent eligibility</w:t>
            </w:r>
          </w:p>
        </w:tc>
        <w:tc>
          <w:tcPr>
            <w:tcW w:type="dxa" w:w="5112"/>
          </w:tcPr>
          <w:p>
            <w:r>
              <w:t>Eligibility engine</w:t>
            </w:r>
          </w:p>
        </w:tc>
      </w:tr>
      <w:tr>
        <w:tc>
          <w:tcPr>
            <w:tcW w:type="dxa" w:w="5112"/>
          </w:tcPr>
          <w:p>
            <w:r>
              <w:t>Offline</w:t>
            </w:r>
          </w:p>
        </w:tc>
        <w:tc>
          <w:tcPr>
            <w:tcW w:type="dxa" w:w="5112"/>
          </w:tcPr>
          <w:p>
            <w:r>
              <w:t>Idempotent sync queue</w:t>
            </w:r>
          </w:p>
        </w:tc>
      </w:tr>
      <w:tr>
        <w:tc>
          <w:tcPr>
            <w:tcW w:type="dxa" w:w="5112"/>
          </w:tcPr>
          <w:p>
            <w:r>
              <w:t>QC</w:t>
            </w:r>
          </w:p>
        </w:tc>
        <w:tc>
          <w:tcPr>
            <w:tcW w:type="dxa" w:w="5112"/>
          </w:tcPr>
          <w:p>
            <w:r>
              <w:t>Structured decision workflow</w:t>
            </w:r>
          </w:p>
        </w:tc>
      </w:tr>
      <w:tr>
        <w:tc>
          <w:tcPr>
            <w:tcW w:type="dxa" w:w="5112"/>
          </w:tcPr>
          <w:p>
            <w:r>
              <w:t>Suspension</w:t>
            </w:r>
          </w:p>
        </w:tc>
        <w:tc>
          <w:tcPr>
            <w:tcW w:type="dxa" w:w="5112"/>
          </w:tcPr>
          <w:p>
            <w:r>
              <w:t>Access-control gate</w:t>
            </w:r>
          </w:p>
        </w:tc>
      </w:tr>
      <w:tr>
        <w:tc>
          <w:tcPr>
            <w:tcW w:type="dxa" w:w="5112"/>
          </w:tcPr>
          <w:p>
            <w:r>
              <w:t>Audit</w:t>
            </w:r>
          </w:p>
        </w:tc>
        <w:tc>
          <w:tcPr>
            <w:tcW w:type="dxa" w:w="5112"/>
          </w:tcPr>
          <w:p>
            <w:r>
              <w:t>Append-only event log</w:t>
            </w:r>
          </w:p>
        </w:tc>
      </w:tr>
    </w:tbl>
    <w:p>
      <w:pPr>
        <w:pStyle w:val="Heading1"/>
      </w:pPr>
      <w:r>
        <w:t>47. Minimum Control Set for Launch</w:t>
      </w:r>
    </w:p>
    <w:p>
      <w:pPr>
        <w:pStyle w:val="ListNumber"/>
      </w:pPr>
      <w:r>
        <w:t>Agent verification</w:t>
      </w:r>
    </w:p>
    <w:p>
      <w:pPr>
        <w:pStyle w:val="ListNumber"/>
      </w:pPr>
      <w:r>
        <w:t>Mission scope control</w:t>
      </w:r>
    </w:p>
    <w:p>
      <w:pPr>
        <w:pStyle w:val="ListNumber"/>
      </w:pPr>
      <w:r>
        <w:t>GPS validation</w:t>
      </w:r>
    </w:p>
    <w:p>
      <w:pPr>
        <w:pStyle w:val="ListNumber"/>
      </w:pPr>
      <w:r>
        <w:t>Evidence provenance</w:t>
      </w:r>
    </w:p>
    <w:p>
      <w:pPr>
        <w:pStyle w:val="ListNumber"/>
      </w:pPr>
      <w:r>
        <w:t>Offline queue</w:t>
      </w:r>
    </w:p>
    <w:p>
      <w:pPr>
        <w:pStyle w:val="ListNumber"/>
      </w:pPr>
      <w:r>
        <w:t>Agent eligibility</w:t>
      </w:r>
    </w:p>
    <w:p>
      <w:pPr>
        <w:pStyle w:val="ListNumber"/>
      </w:pPr>
      <w:r>
        <w:t>QC</w:t>
      </w:r>
    </w:p>
    <w:p>
      <w:pPr>
        <w:pStyle w:val="ListNumber"/>
      </w:pPr>
      <w:r>
        <w:t>Payout state control</w:t>
      </w:r>
    </w:p>
    <w:p>
      <w:pPr>
        <w:pStyle w:val="ListNumber"/>
      </w:pPr>
      <w:r>
        <w:t>Tenant isolation</w:t>
      </w:r>
    </w:p>
    <w:p>
      <w:pPr>
        <w:pStyle w:val="ListNumber"/>
      </w:pPr>
      <w:r>
        <w:t>Audit trail</w:t>
      </w:r>
    </w:p>
    <w:p>
      <w:pPr>
        <w:pStyle w:val="ListNumber"/>
      </w:pPr>
      <w:r>
        <w:t>Safety escalation</w:t>
      </w:r>
    </w:p>
    <w:p>
      <w:pPr>
        <w:pStyle w:val="ListNumber"/>
      </w:pPr>
      <w:r>
        <w:t>ASOJU API authorization</w:t>
      </w:r>
    </w:p>
    <w:p>
      <w:pPr>
        <w:pStyle w:val="ListNumber"/>
      </w:pPr>
      <w:r>
        <w:t>Device/session controls</w:t>
      </w:r>
    </w:p>
    <w:p>
      <w:pPr>
        <w:pStyle w:val="Heading1"/>
      </w:pPr>
      <w:r>
        <w:t>48. Final Control Principle</w:t>
      </w:r>
    </w:p>
    <w:p>
      <w:r>
        <w:t>FieldForce should make the correct action the easiest action and the unsafe, unauthorized, or unverifiable action difficult or impossible.</w:t>
      </w:r>
    </w:p>
    <w:p>
      <w:r>
        <w:t>The objective is not bureaucracy. The objective is to make trusted physical execution repeatable at scale.</w:t>
      </w:r>
    </w:p>
    <w:p>
      <w:pPr>
        <w:pStyle w:val="Heading1"/>
      </w:pPr>
      <w:r>
        <w:t>49. Relationship to the Existing Document Set</w:t>
      </w:r>
    </w:p>
    <w:p>
      <w:r>
        <w:t>This manual is the control layer connecting the existing strategy documents:</w:t>
      </w:r>
    </w:p>
    <w:p>
      <w:pPr>
        <w:pStyle w:val="ListBullet"/>
      </w:pPr>
      <w:r>
        <w:t>Master Prompt — strategic/architecture direction</w:t>
      </w:r>
    </w:p>
    <w:p>
      <w:pPr>
        <w:pStyle w:val="ListBullet"/>
      </w:pPr>
      <w:r>
        <w:t>Product Blueprint — product ecosystem</w:t>
      </w:r>
    </w:p>
    <w:p>
      <w:pPr>
        <w:pStyle w:val="ListBullet"/>
      </w:pPr>
      <w:r>
        <w:t>Business &amp; Operating Model — business operations/economics</w:t>
      </w:r>
    </w:p>
    <w:p>
      <w:pPr>
        <w:pStyle w:val="ListBullet"/>
      </w:pPr>
      <w:r>
        <w:t>Agent Operating System — workforce rules</w:t>
      </w:r>
    </w:p>
    <w:p>
      <w:pPr>
        <w:pStyle w:val="ListBullet"/>
      </w:pPr>
      <w:r>
        <w:t>Service Catalog — mission/service rules</w:t>
      </w:r>
    </w:p>
    <w:p>
      <w:pPr>
        <w:pStyle w:val="ListBullet"/>
      </w:pPr>
      <w:r>
        <w:t>Operating Policies &amp; Controls — enforceable controls</w:t>
      </w:r>
    </w:p>
    <w:p>
      <w:pPr>
        <w:pStyle w:val="Heading1"/>
      </w:pPr>
      <w:r>
        <w:t>50. Next Architecture Gate</w:t>
      </w:r>
    </w:p>
    <w:p>
      <w:r>
        <w:t>Before production engineering begins, convert this manual into a formal System Requirements Specification covering roles, permissions, domain entities, state machines, APIs, data ownership, audit events, offline synchronization, evidence storage, security controls, and acceptance criteria.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ASOJU FieldForce • Operating Policies &amp; Controls Manual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