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ASOJU FieldForce</w:t>
        <w:br/>
        <w:t>Product &amp; Architecture Master Prompt v4.0</w:t>
      </w:r>
    </w:p>
    <w:p>
      <w:pPr>
        <w:jc w:val="center"/>
      </w:pPr>
      <w:r>
        <w:rPr>
          <w:b/>
        </w:rPr>
        <w:t>ASOJU-controlled • Operationally independent • ASOJU anchor customer • Externally scalable</w:t>
      </w:r>
    </w:p>
    <w:p>
      <w:pPr>
        <w:pStyle w:val="Heading1"/>
      </w:pPr>
      <w:r>
        <w:t>1. System Role &amp; Objective</w:t>
      </w:r>
    </w:p>
    <w:p>
      <w:r>
        <w:t>You are a senior product architect, workforce-network strategist, field-operations architect, security architect, marketplace strategist, and full-stack systems architect. Design ASOJU FieldForce as a controlled, independently operated field-workforce business unit/subsidiary within the ASOJU Group.</w:t>
      </w:r>
    </w:p>
    <w:p>
      <w:r>
        <w:t>FieldForce must be strategically integrated with ASOJU while retaining its own operating model, workforce management, service delivery, quality processes, economics, and technology boundary. ASOJU is the anchor customer and primary strategic use case, but FieldForce must be capable of serving external clients.</w:t>
      </w:r>
    </w:p>
    <w:p>
      <w:r>
        <w:t>The objective is to create a continuously available pool of verified, trained, experienced field operators that ASOJU can rely on at any time, while turning that workforce into a broader commercial field-services network.</w:t>
      </w:r>
    </w:p>
    <w:p>
      <w:pPr>
        <w:pStyle w:val="Heading1"/>
      </w:pPr>
      <w:r>
        <w:t>2. Strategic Model</w:t>
      </w:r>
    </w:p>
    <w:p>
      <w:r>
        <w:t>Use the model: ASOJU Group → ASOJU Core + ASOJU FieldForce. ASOJU Core owns the diaspora/customer relationship and authoritative case/business workflows. FieldForce owns and operates the physical workforce and field-execution layer.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Dimension</w:t>
            </w:r>
          </w:p>
        </w:tc>
        <w:tc>
          <w:tcPr>
            <w:tcW w:type="dxa" w:w="3408"/>
          </w:tcPr>
          <w:p>
            <w:r>
              <w:t>ASOJU Core</w:t>
            </w:r>
          </w:p>
        </w:tc>
        <w:tc>
          <w:tcPr>
            <w:tcW w:type="dxa" w:w="3408"/>
          </w:tcPr>
          <w:p>
            <w:r>
              <w:t>ASOJU FieldForce</w:t>
            </w:r>
          </w:p>
        </w:tc>
      </w:tr>
      <w:tr>
        <w:tc>
          <w:tcPr>
            <w:tcW w:type="dxa" w:w="3408"/>
          </w:tcPr>
          <w:p>
            <w:r>
              <w:t>Primary role</w:t>
            </w:r>
          </w:p>
        </w:tc>
        <w:tc>
          <w:tcPr>
            <w:tcW w:type="dxa" w:w="3408"/>
          </w:tcPr>
          <w:p>
            <w:r>
              <w:t>Diaspora trust platform</w:t>
            </w:r>
          </w:p>
        </w:tc>
        <w:tc>
          <w:tcPr>
            <w:tcW w:type="dxa" w:w="3408"/>
          </w:tcPr>
          <w:p>
            <w:r>
              <w:t>Physical execution network</w:t>
            </w:r>
          </w:p>
        </w:tc>
      </w:tr>
      <w:tr>
        <w:tc>
          <w:tcPr>
            <w:tcW w:type="dxa" w:w="3408"/>
          </w:tcPr>
          <w:p>
            <w:r>
              <w:t>Customers</w:t>
            </w:r>
          </w:p>
        </w:tc>
        <w:tc>
          <w:tcPr>
            <w:tcW w:type="dxa" w:w="3408"/>
          </w:tcPr>
          <w:p>
            <w:r>
              <w:t>Diaspora/customer relationship</w:t>
            </w:r>
          </w:p>
        </w:tc>
        <w:tc>
          <w:tcPr>
            <w:tcW w:type="dxa" w:w="3408"/>
          </w:tcPr>
          <w:p>
            <w:r>
              <w:t>ASOJU + external business clients</w:t>
            </w:r>
          </w:p>
        </w:tc>
      </w:tr>
      <w:tr>
        <w:tc>
          <w:tcPr>
            <w:tcW w:type="dxa" w:w="3408"/>
          </w:tcPr>
          <w:p>
            <w:r>
              <w:t>Cases</w:t>
            </w:r>
          </w:p>
        </w:tc>
        <w:tc>
          <w:tcPr>
            <w:tcW w:type="dxa" w:w="3408"/>
          </w:tcPr>
          <w:p>
            <w:r>
              <w:t>Authoritative</w:t>
            </w:r>
          </w:p>
        </w:tc>
        <w:tc>
          <w:tcPr>
            <w:tcW w:type="dxa" w:w="3408"/>
          </w:tcPr>
          <w:p>
            <w:r>
              <w:t>Consumes relevant mission scope</w:t>
            </w:r>
          </w:p>
        </w:tc>
      </w:tr>
      <w:tr>
        <w:tc>
          <w:tcPr>
            <w:tcW w:type="dxa" w:w="3408"/>
          </w:tcPr>
          <w:p>
            <w:r>
              <w:t>Workforce</w:t>
            </w:r>
          </w:p>
        </w:tc>
        <w:tc>
          <w:tcPr>
            <w:tcW w:type="dxa" w:w="3408"/>
          </w:tcPr>
          <w:p>
            <w:r>
              <w:t>Consumes capacity</w:t>
            </w:r>
          </w:p>
        </w:tc>
        <w:tc>
          <w:tcPr>
            <w:tcW w:type="dxa" w:w="3408"/>
          </w:tcPr>
          <w:p>
            <w:r>
              <w:t>Owns agent network</w:t>
            </w:r>
          </w:p>
        </w:tc>
      </w:tr>
      <w:tr>
        <w:tc>
          <w:tcPr>
            <w:tcW w:type="dxa" w:w="3408"/>
          </w:tcPr>
          <w:p>
            <w:r>
              <w:t>Agent lifecycle</w:t>
            </w:r>
          </w:p>
        </w:tc>
        <w:tc>
          <w:tcPr>
            <w:tcW w:type="dxa" w:w="3408"/>
          </w:tcPr>
          <w:p>
            <w:r>
              <w:t>No direct ownership</w:t>
            </w:r>
          </w:p>
        </w:tc>
        <w:tc>
          <w:tcPr>
            <w:tcW w:type="dxa" w:w="3408"/>
          </w:tcPr>
          <w:p>
            <w:r>
              <w:t>Recruit, verify, train, retain</w:t>
            </w:r>
          </w:p>
        </w:tc>
      </w:tr>
      <w:tr>
        <w:tc>
          <w:tcPr>
            <w:tcW w:type="dxa" w:w="3408"/>
          </w:tcPr>
          <w:p>
            <w:r>
              <w:t>Field missions</w:t>
            </w:r>
          </w:p>
        </w:tc>
        <w:tc>
          <w:tcPr>
            <w:tcW w:type="dxa" w:w="3408"/>
          </w:tcPr>
          <w:p>
            <w:r>
              <w:t>Requests/consumes results</w:t>
            </w:r>
          </w:p>
        </w:tc>
        <w:tc>
          <w:tcPr>
            <w:tcW w:type="dxa" w:w="3408"/>
          </w:tcPr>
          <w:p>
            <w:r>
              <w:t>Plans and executes</w:t>
            </w:r>
          </w:p>
        </w:tc>
      </w:tr>
      <w:tr>
        <w:tc>
          <w:tcPr>
            <w:tcW w:type="dxa" w:w="3408"/>
          </w:tcPr>
          <w:p>
            <w:r>
              <w:t>Evidence</w:t>
            </w:r>
          </w:p>
        </w:tc>
        <w:tc>
          <w:tcPr>
            <w:tcW w:type="dxa" w:w="3408"/>
          </w:tcPr>
          <w:p>
            <w:r>
              <w:t>Authoritative for ASOJU case outcome</w:t>
            </w:r>
          </w:p>
        </w:tc>
        <w:tc>
          <w:tcPr>
            <w:tcW w:type="dxa" w:w="3408"/>
          </w:tcPr>
          <w:p>
            <w:r>
              <w:t>Captures/validates operational evidence</w:t>
            </w:r>
          </w:p>
        </w:tc>
      </w:tr>
      <w:tr>
        <w:tc>
          <w:tcPr>
            <w:tcW w:type="dxa" w:w="3408"/>
          </w:tcPr>
          <w:p>
            <w:r>
              <w:t>Payout</w:t>
            </w:r>
          </w:p>
        </w:tc>
        <w:tc>
          <w:tcPr>
            <w:tcW w:type="dxa" w:w="3408"/>
          </w:tcPr>
          <w:p>
            <w:r>
              <w:t>Customer/payment source where applicable</w:t>
            </w:r>
          </w:p>
        </w:tc>
        <w:tc>
          <w:tcPr>
            <w:tcW w:type="dxa" w:w="3408"/>
          </w:tcPr>
          <w:p>
            <w:r>
              <w:t>Agent settlement and field economics</w:t>
            </w:r>
          </w:p>
        </w:tc>
      </w:tr>
      <w:tr>
        <w:tc>
          <w:tcPr>
            <w:tcW w:type="dxa" w:w="3408"/>
          </w:tcPr>
          <w:p>
            <w:r>
              <w:t>Operations</w:t>
            </w:r>
          </w:p>
        </w:tc>
        <w:tc>
          <w:tcPr>
            <w:tcW w:type="dxa" w:w="3408"/>
          </w:tcPr>
          <w:p>
            <w:r>
              <w:t>Customer/case operations</w:t>
            </w:r>
          </w:p>
        </w:tc>
        <w:tc>
          <w:tcPr>
            <w:tcW w:type="dxa" w:w="3408"/>
          </w:tcPr>
          <w:p>
            <w:r>
              <w:t>Workforce/field operations</w:t>
            </w:r>
          </w:p>
        </w:tc>
      </w:tr>
    </w:tbl>
    <w:p>
      <w:pPr>
        <w:pStyle w:val="Heading1"/>
      </w:pPr>
      <w:r>
        <w:t>3. Independence Within ASOJU</w:t>
      </w:r>
    </w:p>
    <w:p>
      <w:r>
        <w:t>FieldForce should be operationally independent without being organizationally detached. It should have its own leadership, KPIs, workforce policies, operating procedures, service catalog, budget, and P&amp;L/accounting view while remaining governed by ASOJU Group.</w:t>
      </w:r>
    </w:p>
    <w:p>
      <w:pPr>
        <w:pStyle w:val="ListBullet"/>
      </w:pPr>
      <w:r>
        <w:t>Dedicated Head/GM of FieldForce</w:t>
      </w:r>
    </w:p>
    <w:p>
      <w:pPr>
        <w:pStyle w:val="ListBullet"/>
      </w:pPr>
      <w:r>
        <w:t>Separate operational budget</w:t>
      </w:r>
    </w:p>
    <w:p>
      <w:pPr>
        <w:pStyle w:val="ListBullet"/>
      </w:pPr>
      <w:r>
        <w:t>Separate workforce operations</w:t>
      </w:r>
    </w:p>
    <w:p>
      <w:pPr>
        <w:pStyle w:val="ListBullet"/>
      </w:pPr>
      <w:r>
        <w:t>Separate service catalog</w:t>
      </w:r>
    </w:p>
    <w:p>
      <w:pPr>
        <w:pStyle w:val="ListBullet"/>
      </w:pPr>
      <w:r>
        <w:t>Separate client/service economics</w:t>
      </w:r>
    </w:p>
    <w:p>
      <w:pPr>
        <w:pStyle w:val="ListBullet"/>
      </w:pPr>
      <w:r>
        <w:t>Separate technology boundary</w:t>
      </w:r>
    </w:p>
    <w:p>
      <w:pPr>
        <w:pStyle w:val="ListBullet"/>
      </w:pPr>
      <w:r>
        <w:t>Separate performance dashboard</w:t>
      </w:r>
    </w:p>
    <w:p>
      <w:pPr>
        <w:pStyle w:val="ListBullet"/>
      </w:pPr>
      <w:r>
        <w:t>Shared strategic governance and group controls</w:t>
      </w:r>
    </w:p>
    <w:p>
      <w:pPr>
        <w:pStyle w:val="Heading1"/>
      </w:pPr>
      <w:r>
        <w:t>4. Business Purpose</w:t>
      </w:r>
    </w:p>
    <w:p>
      <w:r>
        <w:t>FieldForce exists to solve a recurring ASOJU problem: ASOJU should never have to start from zero when a customer needs something physically done in Nigeria.</w:t>
      </w:r>
    </w:p>
    <w:p>
      <w:r>
        <w:t>FieldForce creates the ready pool: verified operator + location coverage + capability + experience + availability + evidence standards + operational support.</w:t>
      </w:r>
    </w:p>
    <w:p>
      <w:pPr>
        <w:pStyle w:val="Heading1"/>
      </w:pPr>
      <w:r>
        <w:t>5. External Market Strategy</w:t>
      </w:r>
    </w:p>
    <w:p>
      <w:r>
        <w:t>External clients are a growth and utilization strategy, not a reason to weaken ASOJU control. FieldForce may serve banks, insurance companies, real-estate businesses, fintechs, legal firms, construction companies, property managers, international businesses, verification companies, and other organizations requiring legitimate physical execution.</w:t>
      </w:r>
    </w:p>
    <w:p>
      <w:r>
        <w:t>ASOJU remains the anchor customer and receives priority capacity according to agreed internal service-level rules.</w:t>
      </w:r>
    </w:p>
    <w:p>
      <w:pPr>
        <w:pStyle w:val="Heading1"/>
      </w:pPr>
      <w:r>
        <w:t>6. Workforce Network</w:t>
      </w:r>
    </w:p>
    <w:p>
      <w:r>
        <w:t>Agents join FieldForce once and can execute approved missions for ASOJU and external clients under the same FieldForce identity.</w:t>
      </w:r>
    </w:p>
    <w:p>
      <w:pPr>
        <w:pStyle w:val="ListBullet"/>
      </w:pPr>
      <w:r>
        <w:t>FieldForce ID</w:t>
      </w:r>
    </w:p>
    <w:p>
      <w:pPr>
        <w:pStyle w:val="ListBullet"/>
      </w:pPr>
      <w:r>
        <w:t>KYC status</w:t>
      </w:r>
    </w:p>
    <w:p>
      <w:pPr>
        <w:pStyle w:val="ListBullet"/>
      </w:pPr>
      <w:r>
        <w:t>Capabilities</w:t>
      </w:r>
    </w:p>
    <w:p>
      <w:pPr>
        <w:pStyle w:val="ListBullet"/>
      </w:pPr>
      <w:r>
        <w:t>Certifications</w:t>
      </w:r>
    </w:p>
    <w:p>
      <w:pPr>
        <w:pStyle w:val="ListBullet"/>
      </w:pPr>
      <w:r>
        <w:t>Geographic coverage</w:t>
      </w:r>
    </w:p>
    <w:p>
      <w:pPr>
        <w:pStyle w:val="ListBullet"/>
      </w:pPr>
      <w:r>
        <w:t>Experience</w:t>
      </w:r>
    </w:p>
    <w:p>
      <w:pPr>
        <w:pStyle w:val="ListBullet"/>
      </w:pPr>
      <w:r>
        <w:t>Tier</w:t>
      </w:r>
    </w:p>
    <w:p>
      <w:pPr>
        <w:pStyle w:val="ListBullet"/>
      </w:pPr>
      <w:r>
        <w:t>Reliability</w:t>
      </w:r>
    </w:p>
    <w:p>
      <w:pPr>
        <w:pStyle w:val="ListBullet"/>
      </w:pPr>
      <w:r>
        <w:t>Evidence quality</w:t>
      </w:r>
    </w:p>
    <w:p>
      <w:pPr>
        <w:pStyle w:val="ListBullet"/>
      </w:pPr>
      <w:r>
        <w:t>Safety record</w:t>
      </w:r>
    </w:p>
    <w:p>
      <w:pPr>
        <w:pStyle w:val="ListBullet"/>
      </w:pPr>
      <w:r>
        <w:t>Availability</w:t>
      </w:r>
    </w:p>
    <w:p>
      <w:pPr>
        <w:pStyle w:val="ListBullet"/>
      </w:pPr>
      <w:r>
        <w:t>Mission history</w:t>
      </w:r>
    </w:p>
    <w:p>
      <w:pPr>
        <w:pStyle w:val="ListBullet"/>
      </w:pPr>
      <w:r>
        <w:t>Payout profile</w:t>
      </w:r>
    </w:p>
    <w:p>
      <w:pPr>
        <w:pStyle w:val="ListBullet"/>
      </w:pPr>
      <w:r>
        <w:t>Trusted devices</w:t>
      </w:r>
    </w:p>
    <w:p>
      <w:pPr>
        <w:pStyle w:val="Heading1"/>
      </w:pPr>
      <w:r>
        <w:t>7. Agent Lifecycle</w:t>
      </w:r>
    </w:p>
    <w:p>
      <w:pPr>
        <w:pStyle w:val="ListNumber"/>
      </w:pPr>
      <w:r>
        <w:t>Application</w:t>
      </w:r>
    </w:p>
    <w:p>
      <w:pPr>
        <w:pStyle w:val="ListNumber"/>
      </w:pPr>
      <w:r>
        <w:t>Identity/KYC verification</w:t>
      </w:r>
    </w:p>
    <w:p>
      <w:pPr>
        <w:pStyle w:val="ListNumber"/>
      </w:pPr>
      <w:r>
        <w:t>Geographic onboarding</w:t>
      </w:r>
    </w:p>
    <w:p>
      <w:pPr>
        <w:pStyle w:val="ListNumber"/>
      </w:pPr>
      <w:r>
        <w:t>Core training</w:t>
      </w:r>
    </w:p>
    <w:p>
      <w:pPr>
        <w:pStyle w:val="ListNumber"/>
      </w:pPr>
      <w:r>
        <w:t>Capability assessment</w:t>
      </w:r>
    </w:p>
    <w:p>
      <w:pPr>
        <w:pStyle w:val="ListNumber"/>
      </w:pPr>
      <w:r>
        <w:t>Certification where required</w:t>
      </w:r>
    </w:p>
    <w:p>
      <w:pPr>
        <w:pStyle w:val="ListNumber"/>
      </w:pPr>
      <w:r>
        <w:t>Activation</w:t>
      </w:r>
    </w:p>
    <w:p>
      <w:pPr>
        <w:pStyle w:val="ListNumber"/>
      </w:pPr>
      <w:r>
        <w:t>Availability setup</w:t>
      </w:r>
    </w:p>
    <w:p>
      <w:pPr>
        <w:pStyle w:val="ListNumber"/>
      </w:pPr>
      <w:r>
        <w:t>Mission matching</w:t>
      </w:r>
    </w:p>
    <w:p>
      <w:pPr>
        <w:pStyle w:val="ListNumber"/>
      </w:pPr>
      <w:r>
        <w:t>Execution</w:t>
      </w:r>
    </w:p>
    <w:p>
      <w:pPr>
        <w:pStyle w:val="ListNumber"/>
      </w:pPr>
      <w:r>
        <w:t>QC</w:t>
      </w:r>
    </w:p>
    <w:p>
      <w:pPr>
        <w:pStyle w:val="ListNumber"/>
      </w:pPr>
      <w:r>
        <w:t>Payout</w:t>
      </w:r>
    </w:p>
    <w:p>
      <w:pPr>
        <w:pStyle w:val="ListNumber"/>
      </w:pPr>
      <w:r>
        <w:t>Performance update</w:t>
      </w:r>
    </w:p>
    <w:p>
      <w:pPr>
        <w:pStyle w:val="ListNumber"/>
      </w:pPr>
      <w:r>
        <w:t>Tier progression</w:t>
      </w:r>
    </w:p>
    <w:p>
      <w:pPr>
        <w:pStyle w:val="ListNumber"/>
      </w:pPr>
      <w:r>
        <w:t>Continuous training and retention</w:t>
      </w:r>
    </w:p>
    <w:p>
      <w:pPr>
        <w:pStyle w:val="Heading1"/>
      </w:pPr>
      <w:r>
        <w:t>8. Workforce Reserve</w:t>
      </w:r>
    </w:p>
    <w:p>
      <w:r>
        <w:t>FieldForce must deliberately maintain reserve capacity so ASOJU can depend on the network during demand spikes, agent cancellations, or geographic shortages.</w:t>
      </w:r>
    </w:p>
    <w:p>
      <w:pPr>
        <w:pStyle w:val="ListBullet"/>
      </w:pPr>
      <w:r>
        <w:t>Ready Now</w:t>
      </w:r>
    </w:p>
    <w:p>
      <w:pPr>
        <w:pStyle w:val="ListBullet"/>
      </w:pPr>
      <w:r>
        <w:t>Ready Today</w:t>
      </w:r>
    </w:p>
    <w:p>
      <w:pPr>
        <w:pStyle w:val="ListBullet"/>
      </w:pPr>
      <w:r>
        <w:t>Standby</w:t>
      </w:r>
    </w:p>
    <w:p>
      <w:pPr>
        <w:pStyle w:val="ListBullet"/>
      </w:pPr>
      <w:r>
        <w:t>Specialist</w:t>
      </w:r>
    </w:p>
    <w:p>
      <w:pPr>
        <w:pStyle w:val="ListBullet"/>
      </w:pPr>
      <w:r>
        <w:t>Busy</w:t>
      </w:r>
    </w:p>
    <w:p>
      <w:pPr>
        <w:pStyle w:val="ListBullet"/>
      </w:pPr>
      <w:r>
        <w:t>Unavailable</w:t>
      </w:r>
    </w:p>
    <w:p>
      <w:pPr>
        <w:pStyle w:val="ListBullet"/>
      </w:pPr>
      <w:r>
        <w:t>Restricted</w:t>
      </w:r>
    </w:p>
    <w:p>
      <w:pPr>
        <w:pStyle w:val="ListBullet"/>
      </w:pPr>
      <w:r>
        <w:t>Suspended</w:t>
      </w:r>
    </w:p>
    <w:p>
      <w:r>
        <w:t>Operations should define minimum coverage targets by State, LGA, service, capability, and tier.</w:t>
      </w:r>
    </w:p>
    <w:p>
      <w:pPr>
        <w:pStyle w:val="Heading1"/>
      </w:pPr>
      <w:r>
        <w:t>9. Service Catalog</w:t>
      </w:r>
    </w:p>
    <w:p>
      <w:pPr>
        <w:pStyle w:val="ListBullet"/>
      </w:pPr>
      <w:r>
        <w:t>Property inspection and verification</w:t>
      </w:r>
    </w:p>
    <w:p>
      <w:pPr>
        <w:pStyle w:val="ListBullet"/>
      </w:pPr>
      <w:r>
        <w:t>Document retrieval and delivery</w:t>
      </w:r>
    </w:p>
    <w:p>
      <w:pPr>
        <w:pStyle w:val="ListBullet"/>
      </w:pPr>
      <w:r>
        <w:t>Business/address verification</w:t>
      </w:r>
    </w:p>
    <w:p>
      <w:pPr>
        <w:pStyle w:val="ListBullet"/>
      </w:pPr>
      <w:r>
        <w:t>Asset verification</w:t>
      </w:r>
    </w:p>
    <w:p>
      <w:pPr>
        <w:pStyle w:val="ListBullet"/>
      </w:pPr>
      <w:r>
        <w:t>Government-office visits</w:t>
      </w:r>
    </w:p>
    <w:p>
      <w:pPr>
        <w:pStyle w:val="ListBullet"/>
      </w:pPr>
      <w:r>
        <w:t>Construction/site inspection</w:t>
      </w:r>
    </w:p>
    <w:p>
      <w:pPr>
        <w:pStyle w:val="ListBullet"/>
      </w:pPr>
      <w:r>
        <w:t>Inventory verification</w:t>
      </w:r>
    </w:p>
    <w:p>
      <w:pPr>
        <w:pStyle w:val="ListBullet"/>
      </w:pPr>
      <w:r>
        <w:t>Photo/video field documentation</w:t>
      </w:r>
    </w:p>
    <w:p>
      <w:pPr>
        <w:pStyle w:val="ListBullet"/>
      </w:pPr>
      <w:r>
        <w:t>Site supervision</w:t>
      </w:r>
    </w:p>
    <w:p>
      <w:pPr>
        <w:pStyle w:val="ListBullet"/>
      </w:pPr>
      <w:r>
        <w:t>Authorized key/access services</w:t>
      </w:r>
    </w:p>
    <w:p>
      <w:pPr>
        <w:pStyle w:val="ListBullet"/>
      </w:pPr>
      <w:r>
        <w:t>Custom field missions</w:t>
      </w:r>
    </w:p>
    <w:p>
      <w:r>
        <w:t>Each service definition must specify scope, exclusions, capabilities, evidence, SLA, pricing, expense rules, safety level, and QC requirements.</w:t>
      </w:r>
    </w:p>
    <w:p>
      <w:pPr>
        <w:pStyle w:val="Heading1"/>
      </w:pPr>
      <w:r>
        <w:t>10. Client Model</w:t>
      </w:r>
    </w:p>
    <w:p>
      <w:r>
        <w:t>FieldForce supports two major client categories: ASOJU internal/group demand and external commercial clients. Each external client receives tenant-isolated access, pricing, SLA, evidence permissions, billing, and reporting.</w:t>
      </w:r>
    </w:p>
    <w:p>
      <w:pPr>
        <w:pStyle w:val="Heading1"/>
      </w:pPr>
      <w:r>
        <w:t>11. Mission Lifecycle</w:t>
      </w:r>
    </w:p>
    <w:p>
      <w:r>
        <w:t>REQUESTED → PLANNED → MATCHED/OFFERED → ACCEPTED → EN_ROUTE → ON_SITE → EXECUTING → SUBMITTING → SUBMITTED → QC → COMPLETED.</w:t>
      </w:r>
    </w:p>
    <w:p>
      <w:r>
        <w:t>Controlled alternate states: ESCALATED, PAUSED, REASSIGNED, REWORK, CANCELLED, FAILED.</w:t>
      </w:r>
    </w:p>
    <w:p>
      <w:pPr>
        <w:pStyle w:val="Heading1"/>
      </w:pPr>
      <w:r>
        <w:t>12. Matching Engine</w:t>
      </w:r>
    </w:p>
    <w:p>
      <w:r>
        <w:t>First apply deterministic eligibility: geography, capability, certification, status, availability, workload, client restrictions, mission risk. Then rank eligible candidates using proximity, reliability, experience, QC history, response time, workload balancing, and agent preferences.</w:t>
      </w:r>
    </w:p>
    <w:p>
      <w:r>
        <w:t>AI may recommend but must not bypass eligibility or silently make authoritative assignments.</w:t>
      </w:r>
    </w:p>
    <w:p>
      <w:pPr>
        <w:pStyle w:val="Heading1"/>
      </w:pPr>
      <w:r>
        <w:t>13. Reputation &amp; Tiers</w:t>
      </w:r>
    </w:p>
    <w:p>
      <w:pPr>
        <w:pStyle w:val="ListBullet"/>
      </w:pPr>
      <w:r>
        <w:t>Reliability</w:t>
      </w:r>
    </w:p>
    <w:p>
      <w:pPr>
        <w:pStyle w:val="ListBullet"/>
      </w:pPr>
      <w:r>
        <w:t>Timeliness</w:t>
      </w:r>
    </w:p>
    <w:p>
      <w:pPr>
        <w:pStyle w:val="ListBullet"/>
      </w:pPr>
      <w:r>
        <w:t>QC pass rate</w:t>
      </w:r>
    </w:p>
    <w:p>
      <w:pPr>
        <w:pStyle w:val="ListBullet"/>
      </w:pPr>
      <w:r>
        <w:t>Evidence quality</w:t>
      </w:r>
    </w:p>
    <w:p>
      <w:pPr>
        <w:pStyle w:val="ListBullet"/>
      </w:pPr>
      <w:r>
        <w:t>No-show/cancellation</w:t>
      </w:r>
    </w:p>
    <w:p>
      <w:pPr>
        <w:pStyle w:val="ListBullet"/>
      </w:pPr>
      <w:r>
        <w:t>Responsiveness</w:t>
      </w:r>
    </w:p>
    <w:p>
      <w:pPr>
        <w:pStyle w:val="ListBullet"/>
      </w:pPr>
      <w:r>
        <w:t>Safety compliance</w:t>
      </w:r>
    </w:p>
    <w:p>
      <w:pPr>
        <w:pStyle w:val="ListBullet"/>
      </w:pPr>
      <w:r>
        <w:t>Mission-type experience</w:t>
      </w:r>
    </w:p>
    <w:p>
      <w:pPr>
        <w:pStyle w:val="ListBullet"/>
      </w:pPr>
      <w:r>
        <w:t>Client/Operations feedback</w:t>
      </w:r>
    </w:p>
    <w:p>
      <w:r>
        <w:t>Suggested tiers: Starter → Verified → Pro → Elite. Tier rules must be explainable and support human review for serious restrictions.</w:t>
      </w:r>
    </w:p>
    <w:p>
      <w:pPr>
        <w:pStyle w:val="Heading1"/>
      </w:pPr>
      <w:r>
        <w:t>14. Academy &amp; Certification</w:t>
      </w:r>
    </w:p>
    <w:p>
      <w:pPr>
        <w:pStyle w:val="ListBullet"/>
      </w:pPr>
      <w:r>
        <w:t>Onboarding</w:t>
      </w:r>
    </w:p>
    <w:p>
      <w:pPr>
        <w:pStyle w:val="ListBullet"/>
      </w:pPr>
      <w:r>
        <w:t>Evidence standards</w:t>
      </w:r>
    </w:p>
    <w:p>
      <w:pPr>
        <w:pStyle w:val="ListBullet"/>
      </w:pPr>
      <w:r>
        <w:t>GPS/check-in</w:t>
      </w:r>
    </w:p>
    <w:p>
      <w:pPr>
        <w:pStyle w:val="ListBullet"/>
      </w:pPr>
      <w:r>
        <w:t>Safety</w:t>
      </w:r>
    </w:p>
    <w:p>
      <w:pPr>
        <w:pStyle w:val="ListBullet"/>
      </w:pPr>
      <w:r>
        <w:t>Privacy</w:t>
      </w:r>
    </w:p>
    <w:p>
      <w:pPr>
        <w:pStyle w:val="ListBullet"/>
      </w:pPr>
      <w:r>
        <w:t>Customer interaction</w:t>
      </w:r>
    </w:p>
    <w:p>
      <w:pPr>
        <w:pStyle w:val="ListBullet"/>
      </w:pPr>
      <w:r>
        <w:t>Fraud awareness</w:t>
      </w:r>
    </w:p>
    <w:p>
      <w:pPr>
        <w:pStyle w:val="ListBullet"/>
      </w:pPr>
      <w:r>
        <w:t>Service-specific certifications</w:t>
      </w:r>
    </w:p>
    <w:p>
      <w:pPr>
        <w:pStyle w:val="ListBullet"/>
      </w:pPr>
      <w:r>
        <w:t>Refresher training</w:t>
      </w:r>
    </w:p>
    <w:p>
      <w:pPr>
        <w:pStyle w:val="Heading1"/>
      </w:pPr>
      <w:r>
        <w:t>15. Field Mission Workspace</w:t>
      </w:r>
    </w:p>
    <w:p>
      <w:pPr>
        <w:pStyle w:val="ListBullet"/>
      </w:pPr>
      <w:r>
        <w:t>Mission objective</w:t>
      </w:r>
    </w:p>
    <w:p>
      <w:pPr>
        <w:pStyle w:val="ListBullet"/>
      </w:pPr>
      <w:r>
        <w:t>SLA</w:t>
      </w:r>
    </w:p>
    <w:p>
      <w:pPr>
        <w:pStyle w:val="ListBullet"/>
      </w:pPr>
      <w:r>
        <w:t>GPS state</w:t>
      </w:r>
    </w:p>
    <w:p>
      <w:pPr>
        <w:pStyle w:val="ListBullet"/>
      </w:pPr>
      <w:r>
        <w:t>Connectivity/sync state</w:t>
      </w:r>
    </w:p>
    <w:p>
      <w:pPr>
        <w:pStyle w:val="ListBullet"/>
      </w:pPr>
      <w:r>
        <w:t>Checklist</w:t>
      </w:r>
    </w:p>
    <w:p>
      <w:pPr>
        <w:pStyle w:val="ListBullet"/>
      </w:pPr>
      <w:r>
        <w:t>Evidence requirements</w:t>
      </w:r>
    </w:p>
    <w:p>
      <w:pPr>
        <w:pStyle w:val="ListBullet"/>
      </w:pPr>
      <w:r>
        <w:t>Camera capture</w:t>
      </w:r>
    </w:p>
    <w:p>
      <w:pPr>
        <w:pStyle w:val="ListBullet"/>
      </w:pPr>
      <w:r>
        <w:t>Notes</w:t>
      </w:r>
    </w:p>
    <w:p>
      <w:pPr>
        <w:pStyle w:val="ListBullet"/>
      </w:pPr>
      <w:r>
        <w:t>Contact/entry information</w:t>
      </w:r>
    </w:p>
    <w:p>
      <w:pPr>
        <w:pStyle w:val="ListBullet"/>
      </w:pPr>
      <w:r>
        <w:t>Escalation</w:t>
      </w:r>
    </w:p>
    <w:p>
      <w:pPr>
        <w:pStyle w:val="ListBullet"/>
      </w:pPr>
      <w:r>
        <w:t>Safety</w:t>
      </w:r>
    </w:p>
    <w:p>
      <w:pPr>
        <w:pStyle w:val="ListBullet"/>
      </w:pPr>
      <w:r>
        <w:t>Submit</w:t>
      </w:r>
    </w:p>
    <w:p>
      <w:r>
        <w:t>The workspace must be mobile-first, sunlight-readable, low-bandwidth, and usable with minimal typing.</w:t>
      </w:r>
    </w:p>
    <w:p>
      <w:pPr>
        <w:pStyle w:val="Heading1"/>
      </w:pPr>
      <w:r>
        <w:t>16. GPS &amp; Physical Presence</w:t>
      </w:r>
    </w:p>
    <w:p>
      <w:r>
        <w:t>Location-sensitive missions require server-verifiable presence. Capture coordinates, accuracy, timestamp, mission ID, agent/device/session, attempts, and validation result. A default 100 m tolerance may apply to standard property missions but must be configurable.</w:t>
      </w:r>
    </w:p>
    <w:p>
      <w:pPr>
        <w:pStyle w:val="Heading1"/>
      </w:pPr>
      <w:r>
        <w:t>17. Evidence Chain of Custody</w:t>
      </w:r>
    </w:p>
    <w:p>
      <w:r>
        <w:t>Every evidence item must link to mission, checklist item, agent, device/session, capture timestamp, GPS context, upload timestamp, hash, sync status, validation status, and audit history.</w:t>
      </w:r>
    </w:p>
    <w:p>
      <w:pPr>
        <w:pStyle w:val="Heading1"/>
      </w:pPr>
      <w:r>
        <w:t>18. Offline-First Execution</w:t>
      </w:r>
    </w:p>
    <w:p>
      <w:pPr>
        <w:pStyle w:val="ListBullet"/>
      </w:pPr>
      <w:r>
        <w:t>Secure mission package cache</w:t>
      </w:r>
    </w:p>
    <w:p>
      <w:pPr>
        <w:pStyle w:val="ListBullet"/>
      </w:pPr>
      <w:r>
        <w:t>Offline checklist</w:t>
      </w:r>
    </w:p>
    <w:p>
      <w:pPr>
        <w:pStyle w:val="ListBullet"/>
      </w:pPr>
      <w:r>
        <w:t>Offline evidence capture</w:t>
      </w:r>
    </w:p>
    <w:p>
      <w:pPr>
        <w:pStyle w:val="ListBullet"/>
      </w:pPr>
      <w:r>
        <w:t>Queued events</w:t>
      </w:r>
    </w:p>
    <w:p>
      <w:pPr>
        <w:pStyle w:val="ListBullet"/>
      </w:pPr>
      <w:r>
        <w:t>Resumable uploads</w:t>
      </w:r>
    </w:p>
    <w:p>
      <w:pPr>
        <w:pStyle w:val="ListBullet"/>
      </w:pPr>
      <w:r>
        <w:t>Idempotency keys</w:t>
      </w:r>
    </w:p>
    <w:p>
      <w:pPr>
        <w:pStyle w:val="ListBullet"/>
      </w:pPr>
      <w:r>
        <w:t>Retry/backoff</w:t>
      </w:r>
    </w:p>
    <w:p>
      <w:pPr>
        <w:pStyle w:val="ListBullet"/>
      </w:pPr>
      <w:r>
        <w:t>Conflict handling</w:t>
      </w:r>
    </w:p>
    <w:p>
      <w:pPr>
        <w:pStyle w:val="ListBullet"/>
      </w:pPr>
      <w:r>
        <w:t>Visible sync status</w:t>
      </w:r>
    </w:p>
    <w:p>
      <w:pPr>
        <w:pStyle w:val="ListBullet"/>
      </w:pPr>
      <w:r>
        <w:t>No silent data loss</w:t>
      </w:r>
    </w:p>
    <w:p>
      <w:pPr>
        <w:pStyle w:val="Heading1"/>
      </w:pPr>
      <w:r>
        <w:t>19. Safety &amp; Escalation</w:t>
      </w:r>
    </w:p>
    <w:p>
      <w:pPr>
        <w:pStyle w:val="ListBullet"/>
      </w:pPr>
      <w:r>
        <w:t>Safety briefing</w:t>
      </w:r>
    </w:p>
    <w:p>
      <w:pPr>
        <w:pStyle w:val="ListBullet"/>
      </w:pPr>
      <w:r>
        <w:t>Unsafe-location control</w:t>
      </w:r>
    </w:p>
    <w:p>
      <w:pPr>
        <w:pStyle w:val="ListBullet"/>
      </w:pPr>
      <w:r>
        <w:t>Mission pause</w:t>
      </w:r>
    </w:p>
    <w:p>
      <w:pPr>
        <w:pStyle w:val="ListBullet"/>
      </w:pPr>
      <w:r>
        <w:t>Operations alert</w:t>
      </w:r>
    </w:p>
    <w:p>
      <w:pPr>
        <w:pStyle w:val="ListBullet"/>
      </w:pPr>
      <w:r>
        <w:t>Incident report</w:t>
      </w:r>
    </w:p>
    <w:p>
      <w:pPr>
        <w:pStyle w:val="ListBullet"/>
      </w:pPr>
      <w:r>
        <w:t>Emergency escalation</w:t>
      </w:r>
    </w:p>
    <w:p>
      <w:pPr>
        <w:pStyle w:val="ListBullet"/>
      </w:pPr>
      <w:r>
        <w:t>Controlled location visibility</w:t>
      </w:r>
    </w:p>
    <w:p>
      <w:pPr>
        <w:pStyle w:val="ListBullet"/>
      </w:pPr>
      <w:r>
        <w:t>Post-incident review</w:t>
      </w:r>
    </w:p>
    <w:p>
      <w:pPr>
        <w:pStyle w:val="Heading1"/>
      </w:pPr>
      <w:r>
        <w:t>20. Quality Control &amp; Rework</w:t>
      </w:r>
    </w:p>
    <w:p>
      <w:r>
        <w:t>FieldForce maintains operational QC standards while ASOJU remains authoritative for customer-facing case outcomes where applicable. External clients may have their own contractual QC rules.</w:t>
      </w:r>
    </w:p>
    <w:p>
      <w:pPr>
        <w:pStyle w:val="ListBullet"/>
      </w:pPr>
      <w:r>
        <w:t>Completeness</w:t>
      </w:r>
    </w:p>
    <w:p>
      <w:pPr>
        <w:pStyle w:val="ListBullet"/>
      </w:pPr>
      <w:r>
        <w:t>Scope compliance</w:t>
      </w:r>
    </w:p>
    <w:p>
      <w:pPr>
        <w:pStyle w:val="ListBullet"/>
      </w:pPr>
      <w:r>
        <w:t>Evidence quality</w:t>
      </w:r>
    </w:p>
    <w:p>
      <w:pPr>
        <w:pStyle w:val="ListBullet"/>
      </w:pPr>
      <w:r>
        <w:t>GPS validity</w:t>
      </w:r>
    </w:p>
    <w:p>
      <w:pPr>
        <w:pStyle w:val="ListBullet"/>
      </w:pPr>
      <w:r>
        <w:t>SLA compliance</w:t>
      </w:r>
    </w:p>
    <w:p>
      <w:pPr>
        <w:pStyle w:val="ListBullet"/>
      </w:pPr>
      <w:r>
        <w:t>Client requirements</w:t>
      </w:r>
    </w:p>
    <w:p>
      <w:pPr>
        <w:pStyle w:val="ListBullet"/>
      </w:pPr>
      <w:r>
        <w:t>Rework reason</w:t>
      </w:r>
    </w:p>
    <w:p>
      <w:pPr>
        <w:pStyle w:val="ListBullet"/>
      </w:pPr>
      <w:r>
        <w:t>Approval/rejection</w:t>
      </w:r>
    </w:p>
    <w:p>
      <w:pPr>
        <w:pStyle w:val="Heading1"/>
      </w:pPr>
      <w:r>
        <w:t>21. Client Portal</w:t>
      </w:r>
    </w:p>
    <w:p>
      <w:pPr>
        <w:pStyle w:val="ListBullet"/>
      </w:pPr>
      <w:r>
        <w:t>Create request</w:t>
      </w:r>
    </w:p>
    <w:p>
      <w:pPr>
        <w:pStyle w:val="ListBullet"/>
      </w:pPr>
      <w:r>
        <w:t>Track request</w:t>
      </w:r>
    </w:p>
    <w:p>
      <w:pPr>
        <w:pStyle w:val="ListBullet"/>
      </w:pPr>
      <w:r>
        <w:t>View mission status</w:t>
      </w:r>
    </w:p>
    <w:p>
      <w:pPr>
        <w:pStyle w:val="ListBullet"/>
      </w:pPr>
      <w:r>
        <w:t>Review evidence/results</w:t>
      </w:r>
    </w:p>
    <w:p>
      <w:pPr>
        <w:pStyle w:val="ListBullet"/>
      </w:pPr>
      <w:r>
        <w:t>Communicate with Operations</w:t>
      </w:r>
    </w:p>
    <w:p>
      <w:pPr>
        <w:pStyle w:val="ListBullet"/>
      </w:pPr>
      <w:r>
        <w:t>Download reports</w:t>
      </w:r>
    </w:p>
    <w:p>
      <w:pPr>
        <w:pStyle w:val="ListBullet"/>
      </w:pPr>
      <w:r>
        <w:t>View invoices</w:t>
      </w:r>
    </w:p>
    <w:p>
      <w:pPr>
        <w:pStyle w:val="ListBullet"/>
      </w:pPr>
      <w:r>
        <w:t>View SLA performance</w:t>
      </w:r>
    </w:p>
    <w:p>
      <w:pPr>
        <w:pStyle w:val="Heading1"/>
      </w:pPr>
      <w:r>
        <w:t>22. Operations Command Center</w:t>
      </w:r>
    </w:p>
    <w:p>
      <w:pPr>
        <w:pStyle w:val="ListBullet"/>
      </w:pPr>
      <w:r>
        <w:t>Client request queue</w:t>
      </w:r>
    </w:p>
    <w:p>
      <w:pPr>
        <w:pStyle w:val="ListBullet"/>
      </w:pPr>
      <w:r>
        <w:t>Mission board</w:t>
      </w:r>
    </w:p>
    <w:p>
      <w:pPr>
        <w:pStyle w:val="ListBullet"/>
      </w:pPr>
      <w:r>
        <w:t>Live map</w:t>
      </w:r>
    </w:p>
    <w:p>
      <w:pPr>
        <w:pStyle w:val="ListBullet"/>
      </w:pPr>
      <w:r>
        <w:t>Agent pool</w:t>
      </w:r>
    </w:p>
    <w:p>
      <w:pPr>
        <w:pStyle w:val="ListBullet"/>
      </w:pPr>
      <w:r>
        <w:t>Capacity by LGA</w:t>
      </w:r>
    </w:p>
    <w:p>
      <w:pPr>
        <w:pStyle w:val="ListBullet"/>
      </w:pPr>
      <w:r>
        <w:t>Escalations</w:t>
      </w:r>
    </w:p>
    <w:p>
      <w:pPr>
        <w:pStyle w:val="ListBullet"/>
      </w:pPr>
      <w:r>
        <w:t>Safety incidents</w:t>
      </w:r>
    </w:p>
    <w:p>
      <w:pPr>
        <w:pStyle w:val="ListBullet"/>
      </w:pPr>
      <w:r>
        <w:t>QC backlog</w:t>
      </w:r>
    </w:p>
    <w:p>
      <w:pPr>
        <w:pStyle w:val="ListBullet"/>
      </w:pPr>
      <w:r>
        <w:t>Rework queue</w:t>
      </w:r>
    </w:p>
    <w:p>
      <w:pPr>
        <w:pStyle w:val="ListBullet"/>
      </w:pPr>
      <w:r>
        <w:t>Reassignment</w:t>
      </w:r>
    </w:p>
    <w:p>
      <w:pPr>
        <w:pStyle w:val="ListBullet"/>
      </w:pPr>
      <w:r>
        <w:t>Performance</w:t>
      </w:r>
    </w:p>
    <w:p>
      <w:pPr>
        <w:pStyle w:val="ListBullet"/>
      </w:pPr>
      <w:r>
        <w:t>Billing/payout exceptions</w:t>
      </w:r>
    </w:p>
    <w:p>
      <w:pPr>
        <w:pStyle w:val="Heading1"/>
      </w:pPr>
      <w:r>
        <w:t>23. Financial Model</w:t>
      </w:r>
    </w:p>
    <w:p>
      <w:r>
        <w:t>FieldForce should maintain its own management P&amp;L even when legally/financially part of ASOJU Group.</w:t>
      </w:r>
    </w:p>
    <w:p>
      <w:pPr>
        <w:pStyle w:val="ListBullet"/>
      </w:pPr>
      <w:r>
        <w:t>ASOJU internal service revenue/value</w:t>
      </w:r>
    </w:p>
    <w:p>
      <w:pPr>
        <w:pStyle w:val="ListBullet"/>
      </w:pPr>
      <w:r>
        <w:t>External client revenue</w:t>
      </w:r>
    </w:p>
    <w:p>
      <w:pPr>
        <w:pStyle w:val="ListBullet"/>
      </w:pPr>
      <w:r>
        <w:t>Agent payouts</w:t>
      </w:r>
    </w:p>
    <w:p>
      <w:pPr>
        <w:pStyle w:val="ListBullet"/>
      </w:pPr>
      <w:r>
        <w:t>Operations costs</w:t>
      </w:r>
    </w:p>
    <w:p>
      <w:pPr>
        <w:pStyle w:val="ListBullet"/>
      </w:pPr>
      <w:r>
        <w:t>KYC/training</w:t>
      </w:r>
    </w:p>
    <w:p>
      <w:pPr>
        <w:pStyle w:val="ListBullet"/>
      </w:pPr>
      <w:r>
        <w:t>Technology</w:t>
      </w:r>
    </w:p>
    <w:p>
      <w:pPr>
        <w:pStyle w:val="ListBullet"/>
      </w:pPr>
      <w:r>
        <w:t>QC</w:t>
      </w:r>
    </w:p>
    <w:p>
      <w:pPr>
        <w:pStyle w:val="ListBullet"/>
      </w:pPr>
      <w:r>
        <w:t>Safety</w:t>
      </w:r>
    </w:p>
    <w:p>
      <w:pPr>
        <w:pStyle w:val="ListBullet"/>
      </w:pPr>
      <w:r>
        <w:t>Approved field expenses</w:t>
      </w:r>
    </w:p>
    <w:p>
      <w:pPr>
        <w:pStyle w:val="ListBullet"/>
      </w:pPr>
      <w:r>
        <w:t>Gross margin</w:t>
      </w:r>
    </w:p>
    <w:p>
      <w:pPr>
        <w:pStyle w:val="Heading1"/>
      </w:pPr>
      <w:r>
        <w:t>24. Security &amp; Data Governance</w:t>
      </w:r>
    </w:p>
    <w:p>
      <w:pPr>
        <w:pStyle w:val="ListBullet"/>
      </w:pPr>
      <w:r>
        <w:t>Tenant isolation</w:t>
      </w:r>
    </w:p>
    <w:p>
      <w:pPr>
        <w:pStyle w:val="ListBullet"/>
      </w:pPr>
      <w:r>
        <w:t>BOLA/IDOR prevention</w:t>
      </w:r>
    </w:p>
    <w:p>
      <w:pPr>
        <w:pStyle w:val="ListBullet"/>
      </w:pPr>
      <w:r>
        <w:t>Case/mission-scoped authorization</w:t>
      </w:r>
    </w:p>
    <w:p>
      <w:pPr>
        <w:pStyle w:val="ListBullet"/>
      </w:pPr>
      <w:r>
        <w:t>Least-privilege API scopes</w:t>
      </w:r>
    </w:p>
    <w:p>
      <w:pPr>
        <w:pStyle w:val="ListBullet"/>
      </w:pPr>
      <w:r>
        <w:t>PII minimization</w:t>
      </w:r>
    </w:p>
    <w:p>
      <w:pPr>
        <w:pStyle w:val="ListBullet"/>
      </w:pPr>
      <w:r>
        <w:t>Encryption</w:t>
      </w:r>
    </w:p>
    <w:p>
      <w:pPr>
        <w:pStyle w:val="ListBullet"/>
      </w:pPr>
      <w:r>
        <w:t>Rate limiting</w:t>
      </w:r>
    </w:p>
    <w:p>
      <w:pPr>
        <w:pStyle w:val="ListBullet"/>
      </w:pPr>
      <w:r>
        <w:t>Secure evidence handling</w:t>
      </w:r>
    </w:p>
    <w:p>
      <w:pPr>
        <w:pStyle w:val="ListBullet"/>
      </w:pPr>
      <w:r>
        <w:t>Audit trails</w:t>
      </w:r>
    </w:p>
    <w:p>
      <w:pPr>
        <w:pStyle w:val="ListBullet"/>
      </w:pPr>
      <w:r>
        <w:t>Idempotent critical actions</w:t>
      </w:r>
    </w:p>
    <w:p>
      <w:pPr>
        <w:pStyle w:val="ListBullet"/>
      </w:pPr>
      <w:r>
        <w:t>Device/session controls</w:t>
      </w:r>
    </w:p>
    <w:p>
      <w:r>
        <w:t>Never trust client-supplied tenantId, agentId, mission ownership, GPS validity, payout state, or authorization claims without server-side verification.</w:t>
      </w:r>
    </w:p>
    <w:p>
      <w:pPr>
        <w:pStyle w:val="Heading1"/>
      </w:pPr>
      <w:r>
        <w:t>25. ASOJU Integration</w:t>
      </w:r>
    </w:p>
    <w:p>
      <w:r>
        <w:t>ASOJU and FieldForce must integrate through versioned APIs/events rather than direct database coupling.</w:t>
      </w:r>
    </w:p>
    <w:p>
      <w:pPr>
        <w:pStyle w:val="ListBullet"/>
      </w:pPr>
      <w:r>
        <w:t>Create field request</w:t>
      </w:r>
    </w:p>
    <w:p>
      <w:pPr>
        <w:pStyle w:val="ListBullet"/>
      </w:pPr>
      <w:r>
        <w:t>Validate/acknowledge request</w:t>
      </w:r>
    </w:p>
    <w:p>
      <w:pPr>
        <w:pStyle w:val="ListBullet"/>
      </w:pPr>
      <w:r>
        <w:t>Provide assignment/status updates</w:t>
      </w:r>
    </w:p>
    <w:p>
      <w:pPr>
        <w:pStyle w:val="ListBullet"/>
      </w:pPr>
      <w:r>
        <w:t>Provide evidence references/packages</w:t>
      </w:r>
    </w:p>
    <w:p>
      <w:pPr>
        <w:pStyle w:val="ListBullet"/>
      </w:pPr>
      <w:r>
        <w:t>Return QC/completion outcome</w:t>
      </w:r>
    </w:p>
    <w:p>
      <w:pPr>
        <w:pStyle w:val="ListBullet"/>
      </w:pPr>
      <w:r>
        <w:t>Return agreed cost/payout information</w:t>
      </w:r>
    </w:p>
    <w:p>
      <w:pPr>
        <w:pStyle w:val="ListBullet"/>
      </w:pPr>
      <w:r>
        <w:t>Handle retries and reconciliation</w:t>
      </w:r>
    </w:p>
    <w:p>
      <w:r>
        <w:t>FieldForce should continue its workforce operations if ASOJU is temporarily unavailable and reconcile safely after recovery.</w:t>
      </w:r>
    </w:p>
    <w:p>
      <w:pPr>
        <w:pStyle w:val="Heading1"/>
      </w:pPr>
      <w:r>
        <w:t>26. Data Ownership</w:t>
      </w:r>
    </w:p>
    <w:tbl>
      <w:tblPr>
        <w:tblStyle w:val="TableGrid"/>
        <w:tblW w:type="auto" w:w="0"/>
        <w:jc w:val="center"/>
        <w:tblLook w:firstColumn="1" w:firstRow="1" w:lastColumn="0" w:lastRow="0" w:noHBand="0" w:noVBand="1" w:val="04A0"/>
      </w:tblPr>
      <w:tblGrid>
        <w:gridCol w:w="5112"/>
        <w:gridCol w:w="5112"/>
      </w:tblGrid>
      <w:tr>
        <w:tc>
          <w:tcPr>
            <w:tcW w:type="dxa" w:w="5112"/>
          </w:tcPr>
          <w:p>
            <w:r>
              <w:t>Domain</w:t>
            </w:r>
          </w:p>
        </w:tc>
        <w:tc>
          <w:tcPr>
            <w:tcW w:type="dxa" w:w="5112"/>
          </w:tcPr>
          <w:p>
            <w:r>
              <w:t>Owner</w:t>
            </w:r>
          </w:p>
        </w:tc>
      </w:tr>
      <w:tr>
        <w:tc>
          <w:tcPr>
            <w:tcW w:type="dxa" w:w="5112"/>
          </w:tcPr>
          <w:p>
            <w:r>
              <w:t>Agent network</w:t>
            </w:r>
          </w:p>
        </w:tc>
        <w:tc>
          <w:tcPr>
            <w:tcW w:type="dxa" w:w="5112"/>
          </w:tcPr>
          <w:p>
            <w:r>
              <w:t>FieldForce</w:t>
            </w:r>
          </w:p>
        </w:tc>
      </w:tr>
      <w:tr>
        <w:tc>
          <w:tcPr>
            <w:tcW w:type="dxa" w:w="5112"/>
          </w:tcPr>
          <w:p>
            <w:r>
              <w:t>Agent verification/capabilities</w:t>
            </w:r>
          </w:p>
        </w:tc>
        <w:tc>
          <w:tcPr>
            <w:tcW w:type="dxa" w:w="5112"/>
          </w:tcPr>
          <w:p>
            <w:r>
              <w:t>FieldForce</w:t>
            </w:r>
          </w:p>
        </w:tc>
      </w:tr>
      <w:tr>
        <w:tc>
          <w:tcPr>
            <w:tcW w:type="dxa" w:w="5112"/>
          </w:tcPr>
          <w:p>
            <w:r>
              <w:t>Agent availability/reputation</w:t>
            </w:r>
          </w:p>
        </w:tc>
        <w:tc>
          <w:tcPr>
            <w:tcW w:type="dxa" w:w="5112"/>
          </w:tcPr>
          <w:p>
            <w:r>
              <w:t>FieldForce</w:t>
            </w:r>
          </w:p>
        </w:tc>
      </w:tr>
      <w:tr>
        <w:tc>
          <w:tcPr>
            <w:tcW w:type="dxa" w:w="5112"/>
          </w:tcPr>
          <w:p>
            <w:r>
              <w:t>Field mission execution</w:t>
            </w:r>
          </w:p>
        </w:tc>
        <w:tc>
          <w:tcPr>
            <w:tcW w:type="dxa" w:w="5112"/>
          </w:tcPr>
          <w:p>
            <w:r>
              <w:t>FieldForce</w:t>
            </w:r>
          </w:p>
        </w:tc>
      </w:tr>
      <w:tr>
        <w:tc>
          <w:tcPr>
            <w:tcW w:type="dxa" w:w="5112"/>
          </w:tcPr>
          <w:p>
            <w:r>
              <w:t>External client relationship</w:t>
            </w:r>
          </w:p>
        </w:tc>
        <w:tc>
          <w:tcPr>
            <w:tcW w:type="dxa" w:w="5112"/>
          </w:tcPr>
          <w:p>
            <w:r>
              <w:t>FieldForce</w:t>
            </w:r>
          </w:p>
        </w:tc>
      </w:tr>
      <w:tr>
        <w:tc>
          <w:tcPr>
            <w:tcW w:type="dxa" w:w="5112"/>
          </w:tcPr>
          <w:p>
            <w:r>
              <w:t>ASOJU customer</w:t>
            </w:r>
          </w:p>
        </w:tc>
        <w:tc>
          <w:tcPr>
            <w:tcW w:type="dxa" w:w="5112"/>
          </w:tcPr>
          <w:p>
            <w:r>
              <w:t>ASOJU Core</w:t>
            </w:r>
          </w:p>
        </w:tc>
      </w:tr>
      <w:tr>
        <w:tc>
          <w:tcPr>
            <w:tcW w:type="dxa" w:w="5112"/>
          </w:tcPr>
          <w:p>
            <w:r>
              <w:t>ASOJU case</w:t>
            </w:r>
          </w:p>
        </w:tc>
        <w:tc>
          <w:tcPr>
            <w:tcW w:type="dxa" w:w="5112"/>
          </w:tcPr>
          <w:p>
            <w:r>
              <w:t>ASOJU Core</w:t>
            </w:r>
          </w:p>
        </w:tc>
      </w:tr>
      <w:tr>
        <w:tc>
          <w:tcPr>
            <w:tcW w:type="dxa" w:w="5112"/>
          </w:tcPr>
          <w:p>
            <w:r>
              <w:t>ASOJU CaseScope</w:t>
            </w:r>
          </w:p>
        </w:tc>
        <w:tc>
          <w:tcPr>
            <w:tcW w:type="dxa" w:w="5112"/>
          </w:tcPr>
          <w:p>
            <w:r>
              <w:t>ASOJU Core</w:t>
            </w:r>
          </w:p>
        </w:tc>
      </w:tr>
      <w:tr>
        <w:tc>
          <w:tcPr>
            <w:tcW w:type="dxa" w:w="5112"/>
          </w:tcPr>
          <w:p>
            <w:r>
              <w:t>ASOJU customer payment</w:t>
            </w:r>
          </w:p>
        </w:tc>
        <w:tc>
          <w:tcPr>
            <w:tcW w:type="dxa" w:w="5112"/>
          </w:tcPr>
          <w:p>
            <w:r>
              <w:t>ASOJU Core</w:t>
            </w:r>
          </w:p>
        </w:tc>
      </w:tr>
      <w:tr>
        <w:tc>
          <w:tcPr>
            <w:tcW w:type="dxa" w:w="5112"/>
          </w:tcPr>
          <w:p>
            <w:r>
              <w:t>ASOJU authoritative case outcome</w:t>
            </w:r>
          </w:p>
        </w:tc>
        <w:tc>
          <w:tcPr>
            <w:tcW w:type="dxa" w:w="5112"/>
          </w:tcPr>
          <w:p>
            <w:r>
              <w:t>ASOJU Core</w:t>
            </w:r>
          </w:p>
        </w:tc>
      </w:tr>
    </w:tbl>
    <w:p>
      <w:pPr>
        <w:pStyle w:val="Heading1"/>
      </w:pPr>
      <w:r>
        <w:t>27. AI Boundaries</w:t>
      </w:r>
    </w:p>
    <w:p>
      <w:r>
        <w:t>AI can assist matching, evidence triage, anomaly detection, mission summaries, support classification, demand forecasting, capacity forecasting, and training. AI cannot be the sole authority for GPS truth, case state, evidence custody, payout clearance, fraud accusations, or permanent suspension.</w:t>
      </w:r>
    </w:p>
    <w:p>
      <w:pPr>
        <w:pStyle w:val="Heading1"/>
      </w:pPr>
      <w:r>
        <w:t>28. Product Roadmap</w:t>
      </w:r>
    </w:p>
    <w:p>
      <w:pPr>
        <w:pStyle w:val="Heading2"/>
      </w:pPr>
      <w:r>
        <w:t>Phase 1 — Controlled FieldForce Core</w:t>
      </w:r>
    </w:p>
    <w:p>
      <w:pPr>
        <w:pStyle w:val="ListBullet"/>
      </w:pPr>
      <w:r>
        <w:t>Agent onboarding/KYC</w:t>
      </w:r>
    </w:p>
    <w:p>
      <w:pPr>
        <w:pStyle w:val="ListBullet"/>
      </w:pPr>
      <w:r>
        <w:t>LGA coverage</w:t>
      </w:r>
    </w:p>
    <w:p>
      <w:pPr>
        <w:pStyle w:val="ListBullet"/>
      </w:pPr>
      <w:r>
        <w:t>Capabilities</w:t>
      </w:r>
    </w:p>
    <w:p>
      <w:pPr>
        <w:pStyle w:val="ListBullet"/>
      </w:pPr>
      <w:r>
        <w:t>Mission feed</w:t>
      </w:r>
    </w:p>
    <w:p>
      <w:pPr>
        <w:pStyle w:val="ListBullet"/>
      </w:pPr>
      <w:r>
        <w:t>Execution workspace</w:t>
      </w:r>
    </w:p>
    <w:p>
      <w:pPr>
        <w:pStyle w:val="ListBullet"/>
      </w:pPr>
      <w:r>
        <w:t>GPS</w:t>
      </w:r>
    </w:p>
    <w:p>
      <w:pPr>
        <w:pStyle w:val="ListBullet"/>
      </w:pPr>
      <w:r>
        <w:t>Checklist</w:t>
      </w:r>
    </w:p>
    <w:p>
      <w:pPr>
        <w:pStyle w:val="ListBullet"/>
      </w:pPr>
      <w:r>
        <w:t>Evidence</w:t>
      </w:r>
    </w:p>
    <w:p>
      <w:pPr>
        <w:pStyle w:val="ListBullet"/>
      </w:pPr>
      <w:r>
        <w:t>Offline</w:t>
      </w:r>
    </w:p>
    <w:p>
      <w:pPr>
        <w:pStyle w:val="ListBullet"/>
      </w:pPr>
      <w:r>
        <w:t>Escalation</w:t>
      </w:r>
    </w:p>
    <w:p>
      <w:pPr>
        <w:pStyle w:val="ListBullet"/>
      </w:pPr>
      <w:r>
        <w:t>Basic QC</w:t>
      </w:r>
    </w:p>
    <w:p>
      <w:pPr>
        <w:pStyle w:val="ListBullet"/>
      </w:pPr>
      <w:r>
        <w:t>Wallet</w:t>
      </w:r>
    </w:p>
    <w:p>
      <w:pPr>
        <w:pStyle w:val="ListBullet"/>
      </w:pPr>
      <w:r>
        <w:t>Operations</w:t>
      </w:r>
    </w:p>
    <w:p>
      <w:pPr>
        <w:pStyle w:val="ListBullet"/>
      </w:pPr>
      <w:r>
        <w:t>ASOJU integration</w:t>
      </w:r>
    </w:p>
    <w:p>
      <w:pPr>
        <w:pStyle w:val="ListBullet"/>
      </w:pPr>
      <w:r>
        <w:t>Basic internal P&amp;L</w:t>
      </w:r>
    </w:p>
    <w:p>
      <w:pPr>
        <w:pStyle w:val="Heading2"/>
      </w:pPr>
      <w:r>
        <w:t>Phase 2 — Commercial FieldForce</w:t>
      </w:r>
    </w:p>
    <w:p>
      <w:pPr>
        <w:pStyle w:val="ListBullet"/>
      </w:pPr>
      <w:r>
        <w:t>External client portal</w:t>
      </w:r>
    </w:p>
    <w:p>
      <w:pPr>
        <w:pStyle w:val="ListBullet"/>
      </w:pPr>
      <w:r>
        <w:t>Multi-tenancy</w:t>
      </w:r>
    </w:p>
    <w:p>
      <w:pPr>
        <w:pStyle w:val="ListBullet"/>
      </w:pPr>
      <w:r>
        <w:t>Service catalog</w:t>
      </w:r>
    </w:p>
    <w:p>
      <w:pPr>
        <w:pStyle w:val="ListBullet"/>
      </w:pPr>
      <w:r>
        <w:t>Pricing/SLA</w:t>
      </w:r>
    </w:p>
    <w:p>
      <w:pPr>
        <w:pStyle w:val="ListBullet"/>
      </w:pPr>
      <w:r>
        <w:t>Reputation</w:t>
      </w:r>
    </w:p>
    <w:p>
      <w:pPr>
        <w:pStyle w:val="ListBullet"/>
      </w:pPr>
      <w:r>
        <w:t>Tiers</w:t>
      </w:r>
    </w:p>
    <w:p>
      <w:pPr>
        <w:pStyle w:val="ListBullet"/>
      </w:pPr>
      <w:r>
        <w:t>Academy</w:t>
      </w:r>
    </w:p>
    <w:p>
      <w:pPr>
        <w:pStyle w:val="ListBullet"/>
      </w:pPr>
      <w:r>
        <w:t>Certifications</w:t>
      </w:r>
    </w:p>
    <w:p>
      <w:pPr>
        <w:pStyle w:val="ListBullet"/>
      </w:pPr>
      <w:r>
        <w:t>Availability</w:t>
      </w:r>
    </w:p>
    <w:p>
      <w:pPr>
        <w:pStyle w:val="ListBullet"/>
      </w:pPr>
      <w:r>
        <w:t>Smart matching</w:t>
      </w:r>
    </w:p>
    <w:p>
      <w:pPr>
        <w:pStyle w:val="ListBullet"/>
      </w:pPr>
      <w:r>
        <w:t>Expense management</w:t>
      </w:r>
    </w:p>
    <w:p>
      <w:pPr>
        <w:pStyle w:val="ListBullet"/>
      </w:pPr>
      <w:r>
        <w:t>Safety</w:t>
      </w:r>
    </w:p>
    <w:p>
      <w:pPr>
        <w:pStyle w:val="ListBullet"/>
      </w:pPr>
      <w:r>
        <w:t>Trust console</w:t>
      </w:r>
    </w:p>
    <w:p>
      <w:pPr>
        <w:pStyle w:val="ListBullet"/>
      </w:pPr>
      <w:r>
        <w:t>Enterprise API</w:t>
      </w:r>
    </w:p>
    <w:p>
      <w:pPr>
        <w:pStyle w:val="ListBullet"/>
      </w:pPr>
      <w:r>
        <w:t>External billing</w:t>
      </w:r>
    </w:p>
    <w:p>
      <w:pPr>
        <w:pStyle w:val="Heading2"/>
      </w:pPr>
      <w:r>
        <w:t>Phase 3 — National Field Infrastructure</w:t>
      </w:r>
    </w:p>
    <w:p>
      <w:pPr>
        <w:pStyle w:val="ListBullet"/>
      </w:pPr>
      <w:r>
        <w:t>Capacity forecasting</w:t>
      </w:r>
    </w:p>
    <w:p>
      <w:pPr>
        <w:pStyle w:val="ListBullet"/>
      </w:pPr>
      <w:r>
        <w:t>Demand forecasting</w:t>
      </w:r>
    </w:p>
    <w:p>
      <w:pPr>
        <w:pStyle w:val="ListBullet"/>
      </w:pPr>
      <w:r>
        <w:t>AI matching assistance</w:t>
      </w:r>
    </w:p>
    <w:p>
      <w:pPr>
        <w:pStyle w:val="ListBullet"/>
      </w:pPr>
      <w:r>
        <w:t>Dynamic pricing</w:t>
      </w:r>
    </w:p>
    <w:p>
      <w:pPr>
        <w:pStyle w:val="ListBullet"/>
      </w:pPr>
      <w:r>
        <w:t>Reserve optimization</w:t>
      </w:r>
    </w:p>
    <w:p>
      <w:pPr>
        <w:pStyle w:val="ListBullet"/>
      </w:pPr>
      <w:r>
        <w:t>Advanced anomaly detection</w:t>
      </w:r>
    </w:p>
    <w:p>
      <w:pPr>
        <w:pStyle w:val="ListBullet"/>
      </w:pPr>
      <w:r>
        <w:t>Enterprise field programs</w:t>
      </w:r>
    </w:p>
    <w:p>
      <w:pPr>
        <w:pStyle w:val="ListBullet"/>
      </w:pPr>
      <w:r>
        <w:t>Partner ecosystem</w:t>
      </w:r>
    </w:p>
    <w:p>
      <w:pPr>
        <w:pStyle w:val="ListBullet"/>
      </w:pPr>
      <w:r>
        <w:t>International expansion</w:t>
      </w:r>
    </w:p>
    <w:p>
      <w:pPr>
        <w:pStyle w:val="Heading1"/>
      </w:pPr>
      <w:r>
        <w:t>29. Non-Negotiables</w:t>
      </w:r>
    </w:p>
    <w:p>
      <w:pPr>
        <w:pStyle w:val="ListNumber"/>
      </w:pPr>
      <w:r>
        <w:t>No fake inspections.</w:t>
      </w:r>
    </w:p>
    <w:p>
      <w:pPr>
        <w:pStyle w:val="ListNumber"/>
      </w:pPr>
      <w:r>
        <w:t>No fabricated GPS.</w:t>
      </w:r>
    </w:p>
    <w:p>
      <w:pPr>
        <w:pStyle w:val="ListNumber"/>
      </w:pPr>
      <w:r>
        <w:t>No fabricated evidence.</w:t>
      </w:r>
    </w:p>
    <w:p>
      <w:pPr>
        <w:pStyle w:val="ListNumber"/>
      </w:pPr>
      <w:r>
        <w:t>No cross-client leakage.</w:t>
      </w:r>
    </w:p>
    <w:p>
      <w:pPr>
        <w:pStyle w:val="ListNumber"/>
      </w:pPr>
      <w:r>
        <w:t>No silent authoritative state changes.</w:t>
      </w:r>
    </w:p>
    <w:p>
      <w:pPr>
        <w:pStyle w:val="ListNumber"/>
      </w:pPr>
      <w:r>
        <w:t>No opaque agent punishment.</w:t>
      </w:r>
    </w:p>
    <w:p>
      <w:pPr>
        <w:pStyle w:val="ListNumber"/>
      </w:pPr>
      <w:r>
        <w:t>No AI-only fraud decisions.</w:t>
      </w:r>
    </w:p>
    <w:p>
      <w:pPr>
        <w:pStyle w:val="ListNumber"/>
      </w:pPr>
      <w:r>
        <w:t>No critical workflow dependent entirely on connectivity.</w:t>
      </w:r>
    </w:p>
    <w:p>
      <w:pPr>
        <w:pStyle w:val="ListNumber"/>
      </w:pPr>
      <w:r>
        <w:t>No payout shown as cleared before authoritative clearance.</w:t>
      </w:r>
    </w:p>
    <w:p>
      <w:pPr>
        <w:pStyle w:val="ListNumber"/>
      </w:pPr>
      <w:r>
        <w:t>No privileged credentials in client-side code.</w:t>
      </w:r>
    </w:p>
    <w:p>
      <w:pPr>
        <w:pStyle w:val="ListNumber"/>
      </w:pPr>
      <w:r>
        <w:t>Every important action must be auditable.</w:t>
      </w:r>
    </w:p>
    <w:p>
      <w:pPr>
        <w:pStyle w:val="Heading1"/>
      </w:pPr>
      <w:r>
        <w:t>30. Final Vision</w:t>
      </w:r>
    </w:p>
    <w:p>
      <w:r>
        <w:t>ASOJU owns the strategic relationship and control framework. FieldForce operates the workforce as a specialized, scalable business unit. The result is an ASOJU-controlled physical-execution network that can also become a commercial field-services business.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ASOJU FieldForce • Product &amp; Architecture Master Prompt v4.0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