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ASOJU FieldForce</w:t>
        <w:br/>
        <w:t>Product Blueprint v3.0</w:t>
      </w:r>
    </w:p>
    <w:p>
      <w:pPr>
        <w:jc w:val="center"/>
      </w:pPr>
      <w:r>
        <w:rPr>
          <w:b/>
        </w:rPr>
        <w:t>ASOJU-controlled • Operationally independent • Ready workforce • Commercially expandable</w:t>
      </w:r>
    </w:p>
    <w:p>
      <w:pPr>
        <w:pStyle w:val="Heading1"/>
      </w:pPr>
      <w:r>
        <w:t>1. Executive Product Position</w:t>
      </w:r>
    </w:p>
    <w:p>
      <w:r>
        <w:t>ASOJU FieldForce is a controlled, independently operated field workforce business unit/subsidiary within ASOJU Group. Its primary strategic role is to give ASOJU a ready pool of verified, trained, experienced field operators while creating a path to external commercial field services.</w:t>
      </w:r>
    </w:p>
    <w:p>
      <w:r>
        <w:t>FieldForce should feel like a professional operating company with its own workforce culture and economics, while remaining tightly integrated with ASOJU.</w:t>
      </w:r>
    </w:p>
    <w:p>
      <w:pPr>
        <w:pStyle w:val="Heading1"/>
      </w:pPr>
      <w:r>
        <w:t>2. Group Structure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Layer</w:t>
            </w:r>
          </w:p>
        </w:tc>
        <w:tc>
          <w:tcPr>
            <w:tcW w:type="dxa" w:w="5112"/>
          </w:tcPr>
          <w:p>
            <w:r>
              <w:t>Purpose</w:t>
            </w:r>
          </w:p>
        </w:tc>
      </w:tr>
      <w:tr>
        <w:tc>
          <w:tcPr>
            <w:tcW w:type="dxa" w:w="5112"/>
          </w:tcPr>
          <w:p>
            <w:r>
              <w:t>ASOJU Group</w:t>
            </w:r>
          </w:p>
        </w:tc>
        <w:tc>
          <w:tcPr>
            <w:tcW w:type="dxa" w:w="5112"/>
          </w:tcPr>
          <w:p>
            <w:r>
              <w:t>Ownership, strategic governance, capital, group controls</w:t>
            </w:r>
          </w:p>
        </w:tc>
      </w:tr>
      <w:tr>
        <w:tc>
          <w:tcPr>
            <w:tcW w:type="dxa" w:w="5112"/>
          </w:tcPr>
          <w:p>
            <w:r>
              <w:t>ASOJU Core</w:t>
            </w:r>
          </w:p>
        </w:tc>
        <w:tc>
          <w:tcPr>
            <w:tcW w:type="dxa" w:w="5112"/>
          </w:tcPr>
          <w:p>
            <w:r>
              <w:t>Diaspora platform, customer relationship, cases, payments, CaseScope, customer outcome</w:t>
            </w:r>
          </w:p>
        </w:tc>
      </w:tr>
      <w:tr>
        <w:tc>
          <w:tcPr>
            <w:tcW w:type="dxa" w:w="5112"/>
          </w:tcPr>
          <w:p>
            <w:r>
              <w:t>ASOJU FieldForce</w:t>
            </w:r>
          </w:p>
        </w:tc>
        <w:tc>
          <w:tcPr>
            <w:tcW w:type="dxa" w:w="5112"/>
          </w:tcPr>
          <w:p>
            <w:r>
              <w:t>Workforce, field operations, service delivery, evidence operations, agent payouts, external field clients</w:t>
            </w:r>
          </w:p>
        </w:tc>
      </w:tr>
    </w:tbl>
    <w:p>
      <w:pPr>
        <w:pStyle w:val="Heading1"/>
      </w:pPr>
      <w:r>
        <w:t>3. The Core Operating Loop</w:t>
      </w:r>
    </w:p>
    <w:p>
      <w:r>
        <w:t>ASOJU customer need → CaseScope → FieldForce request → Eligibility → Matching → Agent → GPS check-in → Execution → Evidence → FieldForce QC → ASOJU result → Customer outcome → Agent settlement.</w:t>
      </w:r>
    </w:p>
    <w:p>
      <w:pPr>
        <w:pStyle w:val="Heading1"/>
      </w:pPr>
      <w:r>
        <w:t>4. Why FieldForce Exists</w:t>
      </w:r>
    </w:p>
    <w:p>
      <w:pPr>
        <w:pStyle w:val="ListBullet"/>
      </w:pPr>
      <w:r>
        <w:t>Eliminate dependence on ad-hoc agents</w:t>
      </w:r>
    </w:p>
    <w:p>
      <w:pPr>
        <w:pStyle w:val="ListBullet"/>
      </w:pPr>
      <w:r>
        <w:t>Maintain experienced field capacity</w:t>
      </w:r>
    </w:p>
    <w:p>
      <w:pPr>
        <w:pStyle w:val="ListBullet"/>
      </w:pPr>
      <w:r>
        <w:t>Increase execution speed</w:t>
      </w:r>
    </w:p>
    <w:p>
      <w:pPr>
        <w:pStyle w:val="ListBullet"/>
      </w:pPr>
      <w:r>
        <w:t>Standardize evidence</w:t>
      </w:r>
    </w:p>
    <w:p>
      <w:pPr>
        <w:pStyle w:val="ListBullet"/>
      </w:pPr>
      <w:r>
        <w:t>Improve customer trust</w:t>
      </w:r>
    </w:p>
    <w:p>
      <w:pPr>
        <w:pStyle w:val="ListBullet"/>
      </w:pPr>
      <w:r>
        <w:t>Reduce ASOJU workforce management burden</w:t>
      </w:r>
    </w:p>
    <w:p>
      <w:pPr>
        <w:pStyle w:val="ListBullet"/>
      </w:pPr>
      <w:r>
        <w:t>Create an additional commercial business</w:t>
      </w:r>
    </w:p>
    <w:p>
      <w:pPr>
        <w:pStyle w:val="Heading1"/>
      </w:pPr>
      <w:r>
        <w:t>5. Agent Network</w:t>
      </w:r>
    </w:p>
    <w:p>
      <w:r>
        <w:t>The agent is a FieldForce Verified Field Operator, not an ASOJU employee identity. The same operator can serve approved missions for ASOJU and other FieldForce clients.</w:t>
      </w:r>
    </w:p>
    <w:p>
      <w:pPr>
        <w:pStyle w:val="Heading1"/>
      </w:pPr>
      <w:r>
        <w:t>6. Agent Dashboard</w:t>
      </w:r>
    </w:p>
    <w:p>
      <w:pPr>
        <w:pStyle w:val="ListBullet"/>
      </w:pPr>
      <w:r>
        <w:t>Active mission</w:t>
      </w:r>
    </w:p>
    <w:p>
      <w:pPr>
        <w:pStyle w:val="ListBullet"/>
      </w:pPr>
      <w:r>
        <w:t>Mission opportunities</w:t>
      </w:r>
    </w:p>
    <w:p>
      <w:pPr>
        <w:pStyle w:val="ListBullet"/>
      </w:pPr>
      <w:r>
        <w:t>Upcoming deadlines</w:t>
      </w:r>
    </w:p>
    <w:p>
      <w:pPr>
        <w:pStyle w:val="ListBullet"/>
      </w:pPr>
      <w:r>
        <w:t>Wallet</w:t>
      </w:r>
    </w:p>
    <w:p>
      <w:pPr>
        <w:pStyle w:val="ListBullet"/>
      </w:pPr>
      <w:r>
        <w:t>Performance</w:t>
      </w:r>
    </w:p>
    <w:p>
      <w:pPr>
        <w:pStyle w:val="ListBullet"/>
      </w:pPr>
      <w:r>
        <w:t>Tier</w:t>
      </w:r>
    </w:p>
    <w:p>
      <w:pPr>
        <w:pStyle w:val="ListBullet"/>
      </w:pPr>
      <w:r>
        <w:t>Certifications</w:t>
      </w:r>
    </w:p>
    <w:p>
      <w:pPr>
        <w:pStyle w:val="ListBullet"/>
      </w:pPr>
      <w:r>
        <w:t>Availability</w:t>
      </w:r>
    </w:p>
    <w:p>
      <w:pPr>
        <w:pStyle w:val="ListBullet"/>
      </w:pPr>
      <w:r>
        <w:t>Notifications</w:t>
      </w:r>
    </w:p>
    <w:p>
      <w:pPr>
        <w:pStyle w:val="ListBullet"/>
      </w:pPr>
      <w:r>
        <w:t>Support</w:t>
      </w:r>
    </w:p>
    <w:p>
      <w:pPr>
        <w:pStyle w:val="ListBullet"/>
      </w:pPr>
      <w:r>
        <w:t>Device/sync health</w:t>
      </w:r>
    </w:p>
    <w:p>
      <w:pPr>
        <w:pStyle w:val="Heading1"/>
      </w:pPr>
      <w:r>
        <w:t>7. Agent Pool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Pool</w:t>
            </w:r>
          </w:p>
        </w:tc>
        <w:tc>
          <w:tcPr>
            <w:tcW w:type="dxa" w:w="5112"/>
          </w:tcPr>
          <w:p>
            <w:r>
              <w:t>Operational meaning</w:t>
            </w:r>
          </w:p>
        </w:tc>
      </w:tr>
      <w:tr>
        <w:tc>
          <w:tcPr>
            <w:tcW w:type="dxa" w:w="5112"/>
          </w:tcPr>
          <w:p>
            <w:r>
              <w:t>Ready Now</w:t>
            </w:r>
          </w:p>
        </w:tc>
        <w:tc>
          <w:tcPr>
            <w:tcW w:type="dxa" w:w="5112"/>
          </w:tcPr>
          <w:p>
            <w:r>
              <w:t>Qualified and immediately deployable</w:t>
            </w:r>
          </w:p>
        </w:tc>
      </w:tr>
      <w:tr>
        <w:tc>
          <w:tcPr>
            <w:tcW w:type="dxa" w:w="5112"/>
          </w:tcPr>
          <w:p>
            <w:r>
              <w:t>Ready Today</w:t>
            </w:r>
          </w:p>
        </w:tc>
        <w:tc>
          <w:tcPr>
            <w:tcW w:type="dxa" w:w="5112"/>
          </w:tcPr>
          <w:p>
            <w:r>
              <w:t>Available during the day</w:t>
            </w:r>
          </w:p>
        </w:tc>
      </w:tr>
      <w:tr>
        <w:tc>
          <w:tcPr>
            <w:tcW w:type="dxa" w:w="5112"/>
          </w:tcPr>
          <w:p>
            <w:r>
              <w:t>Standby</w:t>
            </w:r>
          </w:p>
        </w:tc>
        <w:tc>
          <w:tcPr>
            <w:tcW w:type="dxa" w:w="5112"/>
          </w:tcPr>
          <w:p>
            <w:r>
              <w:t>Can be activated for priority missions</w:t>
            </w:r>
          </w:p>
        </w:tc>
      </w:tr>
      <w:tr>
        <w:tc>
          <w:tcPr>
            <w:tcW w:type="dxa" w:w="5112"/>
          </w:tcPr>
          <w:p>
            <w:r>
              <w:t>Specialist</w:t>
            </w:r>
          </w:p>
        </w:tc>
        <w:tc>
          <w:tcPr>
            <w:tcW w:type="dxa" w:w="5112"/>
          </w:tcPr>
          <w:p>
            <w:r>
              <w:t>Qualified for specialist services</w:t>
            </w:r>
          </w:p>
        </w:tc>
      </w:tr>
      <w:tr>
        <w:tc>
          <w:tcPr>
            <w:tcW w:type="dxa" w:w="5112"/>
          </w:tcPr>
          <w:p>
            <w:r>
              <w:t>Busy</w:t>
            </w:r>
          </w:p>
        </w:tc>
        <w:tc>
          <w:tcPr>
            <w:tcW w:type="dxa" w:w="5112"/>
          </w:tcPr>
          <w:p>
            <w:r>
              <w:t>Executing a mission</w:t>
            </w:r>
          </w:p>
        </w:tc>
      </w:tr>
      <w:tr>
        <w:tc>
          <w:tcPr>
            <w:tcW w:type="dxa" w:w="5112"/>
          </w:tcPr>
          <w:p>
            <w:r>
              <w:t>Unavailable</w:t>
            </w:r>
          </w:p>
        </w:tc>
        <w:tc>
          <w:tcPr>
            <w:tcW w:type="dxa" w:w="5112"/>
          </w:tcPr>
          <w:p>
            <w:r>
              <w:t>Temporarily unavailable</w:t>
            </w:r>
          </w:p>
        </w:tc>
      </w:tr>
      <w:tr>
        <w:tc>
          <w:tcPr>
            <w:tcW w:type="dxa" w:w="5112"/>
          </w:tcPr>
          <w:p>
            <w:r>
              <w:t>Restricted</w:t>
            </w:r>
          </w:p>
        </w:tc>
        <w:tc>
          <w:tcPr>
            <w:tcW w:type="dxa" w:w="5112"/>
          </w:tcPr>
          <w:p>
            <w:r>
              <w:t>Limited eligibility</w:t>
            </w:r>
          </w:p>
        </w:tc>
      </w:tr>
      <w:tr>
        <w:tc>
          <w:tcPr>
            <w:tcW w:type="dxa" w:w="5112"/>
          </w:tcPr>
          <w:p>
            <w:r>
              <w:t>Suspended</w:t>
            </w:r>
          </w:p>
        </w:tc>
        <w:tc>
          <w:tcPr>
            <w:tcW w:type="dxa" w:w="5112"/>
          </w:tcPr>
          <w:p>
            <w:r>
              <w:t>Cannot receive missions</w:t>
            </w:r>
          </w:p>
        </w:tc>
      </w:tr>
    </w:tbl>
    <w:p>
      <w:pPr>
        <w:pStyle w:val="Heading1"/>
      </w:pPr>
      <w:r>
        <w:t>8. Workforce Coverage</w:t>
      </w:r>
    </w:p>
    <w:p>
      <w:r>
        <w:t>Track capacity by State, LGA, service, capability, certification, tier, availability, and workload. Maintain minimum reserve targets for strategic ASOJU services and geographies.</w:t>
      </w:r>
    </w:p>
    <w:p>
      <w:pPr>
        <w:pStyle w:val="Heading1"/>
      </w:pPr>
      <w:r>
        <w:t>9. Client Model</w:t>
      </w:r>
    </w:p>
    <w:p>
      <w:r>
        <w:t>ASOJU is the anchor client. External organizations access FieldForce through controlled client accounts and APIs. External clients must never see ASOJU data or unrelated agent work.</w:t>
      </w:r>
    </w:p>
    <w:p>
      <w:pPr>
        <w:pStyle w:val="Heading1"/>
      </w:pPr>
      <w:r>
        <w:t>10. Service Catalog</w:t>
      </w:r>
    </w:p>
    <w:p>
      <w:pPr>
        <w:pStyle w:val="ListBullet"/>
      </w:pPr>
      <w:r>
        <w:t>Property inspection/verification</w:t>
      </w:r>
    </w:p>
    <w:p>
      <w:pPr>
        <w:pStyle w:val="ListBullet"/>
      </w:pPr>
      <w:r>
        <w:t>Document retrieval/delivery</w:t>
      </w:r>
    </w:p>
    <w:p>
      <w:pPr>
        <w:pStyle w:val="ListBullet"/>
      </w:pPr>
      <w:r>
        <w:t>Business/address verification</w:t>
      </w:r>
    </w:p>
    <w:p>
      <w:pPr>
        <w:pStyle w:val="ListBullet"/>
      </w:pPr>
      <w:r>
        <w:t>Asset verification</w:t>
      </w:r>
    </w:p>
    <w:p>
      <w:pPr>
        <w:pStyle w:val="ListBullet"/>
      </w:pPr>
      <w:r>
        <w:t>Government-office visits</w:t>
      </w:r>
    </w:p>
    <w:p>
      <w:pPr>
        <w:pStyle w:val="ListBullet"/>
      </w:pPr>
      <w:r>
        <w:t>Construction/site inspection</w:t>
      </w:r>
    </w:p>
    <w:p>
      <w:pPr>
        <w:pStyle w:val="ListBullet"/>
      </w:pPr>
      <w:r>
        <w:t>Inventory verification</w:t>
      </w:r>
    </w:p>
    <w:p>
      <w:pPr>
        <w:pStyle w:val="ListBullet"/>
      </w:pPr>
      <w:r>
        <w:t>Specialized field documentation</w:t>
      </w:r>
    </w:p>
    <w:p>
      <w:pPr>
        <w:pStyle w:val="ListBullet"/>
      </w:pPr>
      <w:r>
        <w:t>Site supervision</w:t>
      </w:r>
    </w:p>
    <w:p>
      <w:pPr>
        <w:pStyle w:val="ListBullet"/>
      </w:pPr>
      <w:r>
        <w:t>Custom missions</w:t>
      </w:r>
    </w:p>
    <w:p>
      <w:pPr>
        <w:pStyle w:val="Heading1"/>
      </w:pPr>
      <w:r>
        <w:t>11. Request-to-Mission</w:t>
      </w:r>
    </w:p>
    <w:p>
      <w:r>
        <w:t>Request → Scope validation → Pricing/SLA → Capacity check → Match → Offer/assignment → Accept → Execute → Evidence → QC → Result → Billing → Agent settlement.</w:t>
      </w:r>
    </w:p>
    <w:p>
      <w:pPr>
        <w:pStyle w:val="Heading1"/>
      </w:pPr>
      <w:r>
        <w:t>12. Mission States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State</w:t>
            </w:r>
          </w:p>
        </w:tc>
        <w:tc>
          <w:tcPr>
            <w:tcW w:type="dxa" w:w="5112"/>
          </w:tcPr>
          <w:p>
            <w:r>
              <w:t>Meaning</w:t>
            </w:r>
          </w:p>
        </w:tc>
      </w:tr>
      <w:tr>
        <w:tc>
          <w:tcPr>
            <w:tcW w:type="dxa" w:w="5112"/>
          </w:tcPr>
          <w:p>
            <w:r>
              <w:t>REQUESTED</w:t>
            </w:r>
          </w:p>
        </w:tc>
        <w:tc>
          <w:tcPr>
            <w:tcW w:type="dxa" w:w="5112"/>
          </w:tcPr>
          <w:p>
            <w:r>
              <w:t>Request received</w:t>
            </w:r>
          </w:p>
        </w:tc>
      </w:tr>
      <w:tr>
        <w:tc>
          <w:tcPr>
            <w:tcW w:type="dxa" w:w="5112"/>
          </w:tcPr>
          <w:p>
            <w:r>
              <w:t>PLANNED</w:t>
            </w:r>
          </w:p>
        </w:tc>
        <w:tc>
          <w:tcPr>
            <w:tcW w:type="dxa" w:w="5112"/>
          </w:tcPr>
          <w:p>
            <w:r>
              <w:t>Scope, SLA and feasibility confirmed</w:t>
            </w:r>
          </w:p>
        </w:tc>
      </w:tr>
      <w:tr>
        <w:tc>
          <w:tcPr>
            <w:tcW w:type="dxa" w:w="5112"/>
          </w:tcPr>
          <w:p>
            <w:r>
              <w:t>MATCHED</w:t>
            </w:r>
          </w:p>
        </w:tc>
        <w:tc>
          <w:tcPr>
            <w:tcW w:type="dxa" w:w="5112"/>
          </w:tcPr>
          <w:p>
            <w:r>
              <w:t>Eligible agent identified</w:t>
            </w:r>
          </w:p>
        </w:tc>
      </w:tr>
      <w:tr>
        <w:tc>
          <w:tcPr>
            <w:tcW w:type="dxa" w:w="5112"/>
          </w:tcPr>
          <w:p>
            <w:r>
              <w:t>OFFERED</w:t>
            </w:r>
          </w:p>
        </w:tc>
        <w:tc>
          <w:tcPr>
            <w:tcW w:type="dxa" w:w="5112"/>
          </w:tcPr>
          <w:p>
            <w:r>
              <w:t>Agent can accept</w:t>
            </w:r>
          </w:p>
        </w:tc>
      </w:tr>
      <w:tr>
        <w:tc>
          <w:tcPr>
            <w:tcW w:type="dxa" w:w="5112"/>
          </w:tcPr>
          <w:p>
            <w:r>
              <w:t>ACCEPTED</w:t>
            </w:r>
          </w:p>
        </w:tc>
        <w:tc>
          <w:tcPr>
            <w:tcW w:type="dxa" w:w="5112"/>
          </w:tcPr>
          <w:p>
            <w:r>
              <w:t>Agent committed</w:t>
            </w:r>
          </w:p>
        </w:tc>
      </w:tr>
      <w:tr>
        <w:tc>
          <w:tcPr>
            <w:tcW w:type="dxa" w:w="5112"/>
          </w:tcPr>
          <w:p>
            <w:r>
              <w:t>EN_ROUTE</w:t>
            </w:r>
          </w:p>
        </w:tc>
        <w:tc>
          <w:tcPr>
            <w:tcW w:type="dxa" w:w="5112"/>
          </w:tcPr>
          <w:p>
            <w:r>
              <w:t>Travel started</w:t>
            </w:r>
          </w:p>
        </w:tc>
      </w:tr>
      <w:tr>
        <w:tc>
          <w:tcPr>
            <w:tcW w:type="dxa" w:w="5112"/>
          </w:tcPr>
          <w:p>
            <w:r>
              <w:t>ON_SITE</w:t>
            </w:r>
          </w:p>
        </w:tc>
        <w:tc>
          <w:tcPr>
            <w:tcW w:type="dxa" w:w="5112"/>
          </w:tcPr>
          <w:p>
            <w:r>
              <w:t>Presence verified</w:t>
            </w:r>
          </w:p>
        </w:tc>
      </w:tr>
      <w:tr>
        <w:tc>
          <w:tcPr>
            <w:tcW w:type="dxa" w:w="5112"/>
          </w:tcPr>
          <w:p>
            <w:r>
              <w:t>EXECUTING</w:t>
            </w:r>
          </w:p>
        </w:tc>
        <w:tc>
          <w:tcPr>
            <w:tcW w:type="dxa" w:w="5112"/>
          </w:tcPr>
          <w:p>
            <w:r>
              <w:t>Work underway</w:t>
            </w:r>
          </w:p>
        </w:tc>
      </w:tr>
      <w:tr>
        <w:tc>
          <w:tcPr>
            <w:tcW w:type="dxa" w:w="5112"/>
          </w:tcPr>
          <w:p>
            <w:r>
              <w:t>SUBMITTING</w:t>
            </w:r>
          </w:p>
        </w:tc>
        <w:tc>
          <w:tcPr>
            <w:tcW w:type="dxa" w:w="5112"/>
          </w:tcPr>
          <w:p>
            <w:r>
              <w:t>Final evidence sync</w:t>
            </w:r>
          </w:p>
        </w:tc>
      </w:tr>
      <w:tr>
        <w:tc>
          <w:tcPr>
            <w:tcW w:type="dxa" w:w="5112"/>
          </w:tcPr>
          <w:p>
            <w:r>
              <w:t>SUBMITTED</w:t>
            </w:r>
          </w:p>
        </w:tc>
        <w:tc>
          <w:tcPr>
            <w:tcW w:type="dxa" w:w="5112"/>
          </w:tcPr>
          <w:p>
            <w:r>
              <w:t>Ready for QC</w:t>
            </w:r>
          </w:p>
        </w:tc>
      </w:tr>
      <w:tr>
        <w:tc>
          <w:tcPr>
            <w:tcW w:type="dxa" w:w="5112"/>
          </w:tcPr>
          <w:p>
            <w:r>
              <w:t>QC</w:t>
            </w:r>
          </w:p>
        </w:tc>
        <w:tc>
          <w:tcPr>
            <w:tcW w:type="dxa" w:w="5112"/>
          </w:tcPr>
          <w:p>
            <w:r>
              <w:t>Under review</w:t>
            </w:r>
          </w:p>
        </w:tc>
      </w:tr>
      <w:tr>
        <w:tc>
          <w:tcPr>
            <w:tcW w:type="dxa" w:w="5112"/>
          </w:tcPr>
          <w:p>
            <w:r>
              <w:t>REWORK</w:t>
            </w:r>
          </w:p>
        </w:tc>
        <w:tc>
          <w:tcPr>
            <w:tcW w:type="dxa" w:w="5112"/>
          </w:tcPr>
          <w:p>
            <w:r>
              <w:t>Correction required</w:t>
            </w:r>
          </w:p>
        </w:tc>
      </w:tr>
      <w:tr>
        <w:tc>
          <w:tcPr>
            <w:tcW w:type="dxa" w:w="5112"/>
          </w:tcPr>
          <w:p>
            <w:r>
              <w:t>COMPLETED</w:t>
            </w:r>
          </w:p>
        </w:tc>
        <w:tc>
          <w:tcPr>
            <w:tcW w:type="dxa" w:w="5112"/>
          </w:tcPr>
          <w:p>
            <w:r>
              <w:t>Accepted</w:t>
            </w:r>
          </w:p>
        </w:tc>
      </w:tr>
      <w:tr>
        <w:tc>
          <w:tcPr>
            <w:tcW w:type="dxa" w:w="5112"/>
          </w:tcPr>
          <w:p>
            <w:r>
              <w:t>ESCALATED</w:t>
            </w:r>
          </w:p>
        </w:tc>
        <w:tc>
          <w:tcPr>
            <w:tcW w:type="dxa" w:w="5112"/>
          </w:tcPr>
          <w:p>
            <w:r>
              <w:t>Operations intervention</w:t>
            </w:r>
          </w:p>
        </w:tc>
      </w:tr>
      <w:tr>
        <w:tc>
          <w:tcPr>
            <w:tcW w:type="dxa" w:w="5112"/>
          </w:tcPr>
          <w:p>
            <w:r>
              <w:t>PAUSED</w:t>
            </w:r>
          </w:p>
        </w:tc>
        <w:tc>
          <w:tcPr>
            <w:tcW w:type="dxa" w:w="5112"/>
          </w:tcPr>
          <w:p>
            <w:r>
              <w:t>Temporarily stopped</w:t>
            </w:r>
          </w:p>
        </w:tc>
      </w:tr>
      <w:tr>
        <w:tc>
          <w:tcPr>
            <w:tcW w:type="dxa" w:w="5112"/>
          </w:tcPr>
          <w:p>
            <w:r>
              <w:t>REASSIGNED</w:t>
            </w:r>
          </w:p>
        </w:tc>
        <w:tc>
          <w:tcPr>
            <w:tcW w:type="dxa" w:w="5112"/>
          </w:tcPr>
          <w:p>
            <w:r>
              <w:t>Moved to another operator</w:t>
            </w:r>
          </w:p>
        </w:tc>
      </w:tr>
      <w:tr>
        <w:tc>
          <w:tcPr>
            <w:tcW w:type="dxa" w:w="5112"/>
          </w:tcPr>
          <w:p>
            <w:r>
              <w:t>CANCELLED</w:t>
            </w:r>
          </w:p>
        </w:tc>
        <w:tc>
          <w:tcPr>
            <w:tcW w:type="dxa" w:w="5112"/>
          </w:tcPr>
          <w:p>
            <w:r>
              <w:t>Terminated</w:t>
            </w:r>
          </w:p>
        </w:tc>
      </w:tr>
      <w:tr>
        <w:tc>
          <w:tcPr>
            <w:tcW w:type="dxa" w:w="5112"/>
          </w:tcPr>
          <w:p>
            <w:r>
              <w:t>FAILED</w:t>
            </w:r>
          </w:p>
        </w:tc>
        <w:tc>
          <w:tcPr>
            <w:tcW w:type="dxa" w:w="5112"/>
          </w:tcPr>
          <w:p>
            <w:r>
              <w:t>Could not complete</w:t>
            </w:r>
          </w:p>
        </w:tc>
      </w:tr>
    </w:tbl>
    <w:p>
      <w:pPr>
        <w:pStyle w:val="Heading1"/>
      </w:pPr>
      <w:r>
        <w:t>13. Execution Workspace</w:t>
      </w:r>
    </w:p>
    <w:p>
      <w:pPr>
        <w:pStyle w:val="ListBullet"/>
      </w:pPr>
      <w:r>
        <w:t>Mission objective</w:t>
      </w:r>
    </w:p>
    <w:p>
      <w:pPr>
        <w:pStyle w:val="ListBullet"/>
      </w:pPr>
      <w:r>
        <w:t>SLA</w:t>
      </w:r>
    </w:p>
    <w:p>
      <w:pPr>
        <w:pStyle w:val="ListBullet"/>
      </w:pPr>
      <w:r>
        <w:t>GPS state</w:t>
      </w:r>
    </w:p>
    <w:p>
      <w:pPr>
        <w:pStyle w:val="ListBullet"/>
      </w:pPr>
      <w:r>
        <w:t>Sync banner</w:t>
      </w:r>
    </w:p>
    <w:p>
      <w:pPr>
        <w:pStyle w:val="ListBullet"/>
      </w:pPr>
      <w:r>
        <w:t>Checklist</w:t>
      </w:r>
    </w:p>
    <w:p>
      <w:pPr>
        <w:pStyle w:val="ListBullet"/>
      </w:pPr>
      <w:r>
        <w:t>Evidence requirements</w:t>
      </w:r>
    </w:p>
    <w:p>
      <w:pPr>
        <w:pStyle w:val="ListBullet"/>
      </w:pPr>
      <w:r>
        <w:t>Camera</w:t>
      </w:r>
    </w:p>
    <w:p>
      <w:pPr>
        <w:pStyle w:val="ListBullet"/>
      </w:pPr>
      <w:r>
        <w:t>Notes</w:t>
      </w:r>
    </w:p>
    <w:p>
      <w:pPr>
        <w:pStyle w:val="ListBullet"/>
      </w:pPr>
      <w:r>
        <w:t>Escalation</w:t>
      </w:r>
    </w:p>
    <w:p>
      <w:pPr>
        <w:pStyle w:val="ListBullet"/>
      </w:pPr>
      <w:r>
        <w:t>Safety</w:t>
      </w:r>
    </w:p>
    <w:p>
      <w:pPr>
        <w:pStyle w:val="ListBullet"/>
      </w:pPr>
      <w:r>
        <w:t>Submit</w:t>
      </w:r>
    </w:p>
    <w:p>
      <w:pPr>
        <w:pStyle w:val="Heading1"/>
      </w:pPr>
      <w:r>
        <w:t>14. GPS &amp; Evidence</w:t>
      </w:r>
    </w:p>
    <w:p>
      <w:r>
        <w:t>Location-sensitive missions require server-verifiable presence. Evidence is structured against checklist requirements and carries provenance, timestamp, GPS context, device/session, hash, upload status, and validation history.</w:t>
      </w:r>
    </w:p>
    <w:p>
      <w:pPr>
        <w:pStyle w:val="Heading1"/>
      </w:pPr>
      <w:r>
        <w:t>15. Offline</w:t>
      </w:r>
    </w:p>
    <w:p>
      <w:pPr>
        <w:pStyle w:val="ListBullet"/>
      </w:pPr>
      <w:r>
        <w:t>Mission cache</w:t>
      </w:r>
    </w:p>
    <w:p>
      <w:pPr>
        <w:pStyle w:val="ListBullet"/>
      </w:pPr>
      <w:r>
        <w:t>Offline checklist</w:t>
      </w:r>
    </w:p>
    <w:p>
      <w:pPr>
        <w:pStyle w:val="ListBullet"/>
      </w:pPr>
      <w:r>
        <w:t>Offline evidence</w:t>
      </w:r>
    </w:p>
    <w:p>
      <w:pPr>
        <w:pStyle w:val="ListBullet"/>
      </w:pPr>
      <w:r>
        <w:t>Queued events</w:t>
      </w:r>
    </w:p>
    <w:p>
      <w:pPr>
        <w:pStyle w:val="ListBullet"/>
      </w:pPr>
      <w:r>
        <w:t>Resumable uploads</w:t>
      </w:r>
    </w:p>
    <w:p>
      <w:pPr>
        <w:pStyle w:val="ListBullet"/>
      </w:pPr>
      <w:r>
        <w:t>Idempotency</w:t>
      </w:r>
    </w:p>
    <w:p>
      <w:pPr>
        <w:pStyle w:val="ListBullet"/>
      </w:pPr>
      <w:r>
        <w:t>Retry</w:t>
      </w:r>
    </w:p>
    <w:p>
      <w:pPr>
        <w:pStyle w:val="ListBullet"/>
      </w:pPr>
      <w:r>
        <w:t>Conflict handling</w:t>
      </w:r>
    </w:p>
    <w:p>
      <w:pPr>
        <w:pStyle w:val="ListBullet"/>
      </w:pPr>
      <w:r>
        <w:t>Visible sync state</w:t>
      </w:r>
    </w:p>
    <w:p>
      <w:pPr>
        <w:pStyle w:val="Heading1"/>
      </w:pPr>
      <w:r>
        <w:t>16. Safety</w:t>
      </w:r>
    </w:p>
    <w:p>
      <w:pPr>
        <w:pStyle w:val="ListBullet"/>
      </w:pPr>
      <w:r>
        <w:t>Safety briefing</w:t>
      </w:r>
    </w:p>
    <w:p>
      <w:pPr>
        <w:pStyle w:val="ListBullet"/>
      </w:pPr>
      <w:r>
        <w:t>Unsafe-location action</w:t>
      </w:r>
    </w:p>
    <w:p>
      <w:pPr>
        <w:pStyle w:val="ListBullet"/>
      </w:pPr>
      <w:r>
        <w:t>Pause mission</w:t>
      </w:r>
    </w:p>
    <w:p>
      <w:pPr>
        <w:pStyle w:val="ListBullet"/>
      </w:pPr>
      <w:r>
        <w:t>Operations alert</w:t>
      </w:r>
    </w:p>
    <w:p>
      <w:pPr>
        <w:pStyle w:val="ListBullet"/>
      </w:pPr>
      <w:r>
        <w:t>Incident report</w:t>
      </w:r>
    </w:p>
    <w:p>
      <w:pPr>
        <w:pStyle w:val="ListBullet"/>
      </w:pPr>
      <w:r>
        <w:t>Emergency escalation</w:t>
      </w:r>
    </w:p>
    <w:p>
      <w:pPr>
        <w:pStyle w:val="ListBullet"/>
      </w:pPr>
      <w:r>
        <w:t>Post-incident review</w:t>
      </w:r>
    </w:p>
    <w:p>
      <w:pPr>
        <w:pStyle w:val="Heading1"/>
      </w:pPr>
      <w:r>
        <w:t>17. Quality &amp; Rework</w:t>
      </w:r>
    </w:p>
    <w:p>
      <w:r>
        <w:t>FieldForce QC verifies service completeness, scope compliance, evidence quality, location validity, SLA, and client requirements. Rework identifies the exact deficiency and whether another site visit is necessary.</w:t>
      </w:r>
    </w:p>
    <w:p>
      <w:pPr>
        <w:pStyle w:val="Heading1"/>
      </w:pPr>
      <w:r>
        <w:t>18. Operations Command Center</w:t>
      </w:r>
    </w:p>
    <w:p>
      <w:pPr>
        <w:pStyle w:val="ListBullet"/>
      </w:pPr>
      <w:r>
        <w:t>Request queue</w:t>
      </w:r>
    </w:p>
    <w:p>
      <w:pPr>
        <w:pStyle w:val="ListBullet"/>
      </w:pPr>
      <w:r>
        <w:t>Mission board</w:t>
      </w:r>
    </w:p>
    <w:p>
      <w:pPr>
        <w:pStyle w:val="ListBullet"/>
      </w:pPr>
      <w:r>
        <w:t>Live map</w:t>
      </w:r>
    </w:p>
    <w:p>
      <w:pPr>
        <w:pStyle w:val="ListBullet"/>
      </w:pPr>
      <w:r>
        <w:t>Agent pool</w:t>
      </w:r>
    </w:p>
    <w:p>
      <w:pPr>
        <w:pStyle w:val="ListBullet"/>
      </w:pPr>
      <w:r>
        <w:t>Coverage map</w:t>
      </w:r>
    </w:p>
    <w:p>
      <w:pPr>
        <w:pStyle w:val="ListBullet"/>
      </w:pPr>
      <w:r>
        <w:t>Escalations</w:t>
      </w:r>
    </w:p>
    <w:p>
      <w:pPr>
        <w:pStyle w:val="ListBullet"/>
      </w:pPr>
      <w:r>
        <w:t>Safety incidents</w:t>
      </w:r>
    </w:p>
    <w:p>
      <w:pPr>
        <w:pStyle w:val="ListBullet"/>
      </w:pPr>
      <w:r>
        <w:t>QC backlog</w:t>
      </w:r>
    </w:p>
    <w:p>
      <w:pPr>
        <w:pStyle w:val="ListBullet"/>
      </w:pPr>
      <w:r>
        <w:t>Rework</w:t>
      </w:r>
    </w:p>
    <w:p>
      <w:pPr>
        <w:pStyle w:val="ListBullet"/>
      </w:pPr>
      <w:r>
        <w:t>Reassignment</w:t>
      </w:r>
    </w:p>
    <w:p>
      <w:pPr>
        <w:pStyle w:val="ListBullet"/>
      </w:pPr>
      <w:r>
        <w:t>Performance</w:t>
      </w:r>
    </w:p>
    <w:p>
      <w:pPr>
        <w:pStyle w:val="ListBullet"/>
      </w:pPr>
      <w:r>
        <w:t>Payout exceptions</w:t>
      </w:r>
    </w:p>
    <w:p>
      <w:pPr>
        <w:pStyle w:val="Heading1"/>
      </w:pPr>
      <w:r>
        <w:t>19. ASOJU Service Level</w:t>
      </w:r>
    </w:p>
    <w:p>
      <w:r>
        <w:t>ASOJU should have an explicit internal service agreement with FieldForce covering priority, response time, execution SLA, evidence standards, escalation, QC, pricing/transfer pricing, and capacity commitments.</w:t>
      </w:r>
    </w:p>
    <w:p>
      <w:pPr>
        <w:pStyle w:val="Heading1"/>
      </w:pPr>
      <w:r>
        <w:t>20. External Client Service Level</w:t>
      </w:r>
    </w:p>
    <w:p>
      <w:r>
        <w:t>External clients can select Standard, Priority, Urgent, or enterprise-custom service levels subject to geography and workforce capacity.</w:t>
      </w:r>
    </w:p>
    <w:p>
      <w:pPr>
        <w:pStyle w:val="Heading1"/>
      </w:pPr>
      <w:r>
        <w:t>21. Pricing</w:t>
      </w:r>
    </w:p>
    <w:p>
      <w:r>
        <w:t>FieldForce pricing should separate client service price, agent payout, approved expenses, taxes/fees, and FieldForce margin. ASOJU internal pricing can use a transparent transfer-pricing/service-charge model.</w:t>
      </w:r>
    </w:p>
    <w:p>
      <w:pPr>
        <w:pStyle w:val="Heading1"/>
      </w:pPr>
      <w:r>
        <w:t>22. Agent Wallet</w:t>
      </w:r>
    </w:p>
    <w:p>
      <w:pPr>
        <w:pStyle w:val="ListBullet"/>
      </w:pPr>
      <w:r>
        <w:t>Pending</w:t>
      </w:r>
    </w:p>
    <w:p>
      <w:pPr>
        <w:pStyle w:val="ListBullet"/>
      </w:pPr>
      <w:r>
        <w:t>QC-cleared</w:t>
      </w:r>
    </w:p>
    <w:p>
      <w:pPr>
        <w:pStyle w:val="ListBullet"/>
      </w:pPr>
      <w:r>
        <w:t>Available</w:t>
      </w:r>
    </w:p>
    <w:p>
      <w:pPr>
        <w:pStyle w:val="ListBullet"/>
      </w:pPr>
      <w:r>
        <w:t>Paid</w:t>
      </w:r>
    </w:p>
    <w:p>
      <w:pPr>
        <w:pStyle w:val="ListBullet"/>
      </w:pPr>
      <w:r>
        <w:t>Expense pending</w:t>
      </w:r>
    </w:p>
    <w:p>
      <w:pPr>
        <w:pStyle w:val="ListBullet"/>
      </w:pPr>
      <w:r>
        <w:t>Expense approved</w:t>
      </w:r>
    </w:p>
    <w:p>
      <w:pPr>
        <w:pStyle w:val="Heading1"/>
      </w:pPr>
      <w:r>
        <w:t>23. Reputation</w:t>
      </w:r>
    </w:p>
    <w:p>
      <w:r>
        <w:t>Measure reliability, timeliness, QC, evidence quality, cancellation/no-show, responsiveness, safety, and service-specific experience. Suggested tiers: Starter, Verified, Pro, Elite.</w:t>
      </w:r>
    </w:p>
    <w:p>
      <w:pPr>
        <w:pStyle w:val="Heading1"/>
      </w:pPr>
      <w:r>
        <w:t>24. Academy</w:t>
      </w:r>
    </w:p>
    <w:p>
      <w:pPr>
        <w:pStyle w:val="ListBullet"/>
      </w:pPr>
      <w:r>
        <w:t>Core onboarding</w:t>
      </w:r>
    </w:p>
    <w:p>
      <w:pPr>
        <w:pStyle w:val="ListBullet"/>
      </w:pPr>
      <w:r>
        <w:t>Evidence standards</w:t>
      </w:r>
    </w:p>
    <w:p>
      <w:pPr>
        <w:pStyle w:val="ListBullet"/>
      </w:pPr>
      <w:r>
        <w:t>GPS</w:t>
      </w:r>
    </w:p>
    <w:p>
      <w:pPr>
        <w:pStyle w:val="ListBullet"/>
      </w:pPr>
      <w:r>
        <w:t>Safety</w:t>
      </w:r>
    </w:p>
    <w:p>
      <w:pPr>
        <w:pStyle w:val="ListBullet"/>
      </w:pPr>
      <w:r>
        <w:t>Privacy</w:t>
      </w:r>
    </w:p>
    <w:p>
      <w:pPr>
        <w:pStyle w:val="ListBullet"/>
      </w:pPr>
      <w:r>
        <w:t>Customer interaction</w:t>
      </w:r>
    </w:p>
    <w:p>
      <w:pPr>
        <w:pStyle w:val="ListBullet"/>
      </w:pPr>
      <w:r>
        <w:t>Fraud awareness</w:t>
      </w:r>
    </w:p>
    <w:p>
      <w:pPr>
        <w:pStyle w:val="ListBullet"/>
      </w:pPr>
      <w:r>
        <w:t>Service certifications</w:t>
      </w:r>
    </w:p>
    <w:p>
      <w:pPr>
        <w:pStyle w:val="ListBullet"/>
      </w:pPr>
      <w:r>
        <w:t>Refresher training</w:t>
      </w:r>
    </w:p>
    <w:p>
      <w:pPr>
        <w:pStyle w:val="Heading1"/>
      </w:pPr>
      <w:r>
        <w:t>25. Client Portal</w:t>
      </w:r>
    </w:p>
    <w:p>
      <w:pPr>
        <w:pStyle w:val="ListBullet"/>
      </w:pPr>
      <w:r>
        <w:t>Submit request</w:t>
      </w:r>
    </w:p>
    <w:p>
      <w:pPr>
        <w:pStyle w:val="ListBullet"/>
      </w:pPr>
      <w:r>
        <w:t>Track status</w:t>
      </w:r>
    </w:p>
    <w:p>
      <w:pPr>
        <w:pStyle w:val="ListBullet"/>
      </w:pPr>
      <w:r>
        <w:t>Review results</w:t>
      </w:r>
    </w:p>
    <w:p>
      <w:pPr>
        <w:pStyle w:val="ListBullet"/>
      </w:pPr>
      <w:r>
        <w:t>Review evidence</w:t>
      </w:r>
    </w:p>
    <w:p>
      <w:pPr>
        <w:pStyle w:val="ListBullet"/>
      </w:pPr>
      <w:r>
        <w:t>Communicate</w:t>
      </w:r>
    </w:p>
    <w:p>
      <w:pPr>
        <w:pStyle w:val="ListBullet"/>
      </w:pPr>
      <w:r>
        <w:t>Reports</w:t>
      </w:r>
    </w:p>
    <w:p>
      <w:pPr>
        <w:pStyle w:val="ListBullet"/>
      </w:pPr>
      <w:r>
        <w:t>Invoices</w:t>
      </w:r>
    </w:p>
    <w:p>
      <w:pPr>
        <w:pStyle w:val="ListBullet"/>
      </w:pPr>
      <w:r>
        <w:t>SLA performance</w:t>
      </w:r>
    </w:p>
    <w:p>
      <w:pPr>
        <w:pStyle w:val="Heading1"/>
      </w:pPr>
      <w:r>
        <w:t>26. ASOJU Integration</w:t>
      </w:r>
    </w:p>
    <w:p>
      <w:r>
        <w:t>Use APIs/events for request creation, mission status, evidence/result exchange, QC outcome, cost/payout data, and reconciliation. Do not directly couple databases.</w:t>
      </w:r>
    </w:p>
    <w:p>
      <w:pPr>
        <w:pStyle w:val="Heading1"/>
      </w:pPr>
      <w:r>
        <w:t>27. ASOJU Priority Capacity</w:t>
      </w:r>
    </w:p>
    <w:p>
      <w:r>
        <w:t>ASOJU should have agreed priority access to capacity because it is the anchor customer. Priority rules must be explicit and must not create uncontrolled favoritism that damages external-client commitments.</w:t>
      </w:r>
    </w:p>
    <w:p>
      <w:pPr>
        <w:pStyle w:val="Heading1"/>
      </w:pPr>
      <w:r>
        <w:t>28. FieldForce P&amp;L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Category</w:t>
            </w:r>
          </w:p>
        </w:tc>
        <w:tc>
          <w:tcPr>
            <w:tcW w:type="dxa" w:w="5112"/>
          </w:tcPr>
          <w:p>
            <w:r>
              <w:t>Examples</w:t>
            </w:r>
          </w:p>
        </w:tc>
      </w:tr>
      <w:tr>
        <w:tc>
          <w:tcPr>
            <w:tcW w:type="dxa" w:w="5112"/>
          </w:tcPr>
          <w:p>
            <w:r>
              <w:t>Revenue/value</w:t>
            </w:r>
          </w:p>
        </w:tc>
        <w:tc>
          <w:tcPr>
            <w:tcW w:type="dxa" w:w="5112"/>
          </w:tcPr>
          <w:p>
            <w:r>
              <w:t>ASOJU internal service charges; external client revenue</w:t>
            </w:r>
          </w:p>
        </w:tc>
      </w:tr>
      <w:tr>
        <w:tc>
          <w:tcPr>
            <w:tcW w:type="dxa" w:w="5112"/>
          </w:tcPr>
          <w:p>
            <w:r>
              <w:t>Direct cost</w:t>
            </w:r>
          </w:p>
        </w:tc>
        <w:tc>
          <w:tcPr>
            <w:tcW w:type="dxa" w:w="5112"/>
          </w:tcPr>
          <w:p>
            <w:r>
              <w:t>Agent payouts; approved field expenses</w:t>
            </w:r>
          </w:p>
        </w:tc>
      </w:tr>
      <w:tr>
        <w:tc>
          <w:tcPr>
            <w:tcW w:type="dxa" w:w="5112"/>
          </w:tcPr>
          <w:p>
            <w:r>
              <w:t>Operations</w:t>
            </w:r>
          </w:p>
        </w:tc>
        <w:tc>
          <w:tcPr>
            <w:tcW w:type="dxa" w:w="5112"/>
          </w:tcPr>
          <w:p>
            <w:r>
              <w:t>Dispatch, QC, support</w:t>
            </w:r>
          </w:p>
        </w:tc>
      </w:tr>
      <w:tr>
        <w:tc>
          <w:tcPr>
            <w:tcW w:type="dxa" w:w="5112"/>
          </w:tcPr>
          <w:p>
            <w:r>
              <w:t>Workforce</w:t>
            </w:r>
          </w:p>
        </w:tc>
        <w:tc>
          <w:tcPr>
            <w:tcW w:type="dxa" w:w="5112"/>
          </w:tcPr>
          <w:p>
            <w:r>
              <w:t>Recruitment, KYC, training</w:t>
            </w:r>
          </w:p>
        </w:tc>
      </w:tr>
      <w:tr>
        <w:tc>
          <w:tcPr>
            <w:tcW w:type="dxa" w:w="5112"/>
          </w:tcPr>
          <w:p>
            <w:r>
              <w:t>Technology</w:t>
            </w:r>
          </w:p>
        </w:tc>
        <w:tc>
          <w:tcPr>
            <w:tcW w:type="dxa" w:w="5112"/>
          </w:tcPr>
          <w:p>
            <w:r>
              <w:t>Platform, infrastructure, security</w:t>
            </w:r>
          </w:p>
        </w:tc>
      </w:tr>
      <w:tr>
        <w:tc>
          <w:tcPr>
            <w:tcW w:type="dxa" w:w="5112"/>
          </w:tcPr>
          <w:p>
            <w:r>
              <w:t>Safety/risk</w:t>
            </w:r>
          </w:p>
        </w:tc>
        <w:tc>
          <w:tcPr>
            <w:tcW w:type="dxa" w:w="5112"/>
          </w:tcPr>
          <w:p>
            <w:r>
              <w:t>Insurance/support where applicable</w:t>
            </w:r>
          </w:p>
        </w:tc>
      </w:tr>
      <w:tr>
        <w:tc>
          <w:tcPr>
            <w:tcW w:type="dxa" w:w="5112"/>
          </w:tcPr>
          <w:p>
            <w:r>
              <w:t>Contribution</w:t>
            </w:r>
          </w:p>
        </w:tc>
        <w:tc>
          <w:tcPr>
            <w:tcW w:type="dxa" w:w="5112"/>
          </w:tcPr>
          <w:p>
            <w:r>
              <w:t>FieldForce gross contribution and operating profit</w:t>
            </w:r>
          </w:p>
        </w:tc>
      </w:tr>
    </w:tbl>
    <w:p>
      <w:pPr>
        <w:pStyle w:val="Heading1"/>
      </w:pPr>
      <w:r>
        <w:t>29. Workforce Reserve</w:t>
      </w:r>
    </w:p>
    <w:p>
      <w:r>
        <w:t>Define minimum deployable capacity targets. When capacity falls below threshold, FieldForce triggers recruitment, certification, or geographic expansion activity.</w:t>
      </w:r>
    </w:p>
    <w:p>
      <w:pPr>
        <w:pStyle w:val="Heading1"/>
      </w:pPr>
      <w:r>
        <w:t>30. Strategic KPIs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Metric</w:t>
            </w:r>
          </w:p>
        </w:tc>
        <w:tc>
          <w:tcPr>
            <w:tcW w:type="dxa" w:w="5112"/>
          </w:tcPr>
          <w:p>
            <w:r>
              <w:t>Purpose</w:t>
            </w:r>
          </w:p>
        </w:tc>
      </w:tr>
      <w:tr>
        <w:tc>
          <w:tcPr>
            <w:tcW w:type="dxa" w:w="5112"/>
          </w:tcPr>
          <w:p>
            <w:r>
              <w:t>QC-approved missions/month</w:t>
            </w:r>
          </w:p>
        </w:tc>
        <w:tc>
          <w:tcPr>
            <w:tcW w:type="dxa" w:w="5112"/>
          </w:tcPr>
          <w:p>
            <w:r>
              <w:t>Network output</w:t>
            </w:r>
          </w:p>
        </w:tc>
      </w:tr>
      <w:tr>
        <w:tc>
          <w:tcPr>
            <w:tcW w:type="dxa" w:w="5112"/>
          </w:tcPr>
          <w:p>
            <w:r>
              <w:t>Experienced active agents</w:t>
            </w:r>
          </w:p>
        </w:tc>
        <w:tc>
          <w:tcPr>
            <w:tcW w:type="dxa" w:w="5112"/>
          </w:tcPr>
          <w:p>
            <w:r>
              <w:t>Ready workforce</w:t>
            </w:r>
          </w:p>
        </w:tc>
      </w:tr>
      <w:tr>
        <w:tc>
          <w:tcPr>
            <w:tcW w:type="dxa" w:w="5112"/>
          </w:tcPr>
          <w:p>
            <w:r>
              <w:t>LGA coverage</w:t>
            </w:r>
          </w:p>
        </w:tc>
        <w:tc>
          <w:tcPr>
            <w:tcW w:type="dxa" w:w="5112"/>
          </w:tcPr>
          <w:p>
            <w:r>
              <w:t>Geographic reach</w:t>
            </w:r>
          </w:p>
        </w:tc>
      </w:tr>
      <w:tr>
        <w:tc>
          <w:tcPr>
            <w:tcW w:type="dxa" w:w="5112"/>
          </w:tcPr>
          <w:p>
            <w:r>
              <w:t>SLA attainment</w:t>
            </w:r>
          </w:p>
        </w:tc>
        <w:tc>
          <w:tcPr>
            <w:tcW w:type="dxa" w:w="5112"/>
          </w:tcPr>
          <w:p>
            <w:r>
              <w:t>Reliability</w:t>
            </w:r>
          </w:p>
        </w:tc>
      </w:tr>
      <w:tr>
        <w:tc>
          <w:tcPr>
            <w:tcW w:type="dxa" w:w="5112"/>
          </w:tcPr>
          <w:p>
            <w:r>
              <w:t>Evidence acceptance</w:t>
            </w:r>
          </w:p>
        </w:tc>
        <w:tc>
          <w:tcPr>
            <w:tcW w:type="dxa" w:w="5112"/>
          </w:tcPr>
          <w:p>
            <w:r>
              <w:t>Trust</w:t>
            </w:r>
          </w:p>
        </w:tc>
      </w:tr>
      <w:tr>
        <w:tc>
          <w:tcPr>
            <w:tcW w:type="dxa" w:w="5112"/>
          </w:tcPr>
          <w:p>
            <w:r>
              <w:t>Agent retention</w:t>
            </w:r>
          </w:p>
        </w:tc>
        <w:tc>
          <w:tcPr>
            <w:tcW w:type="dxa" w:w="5112"/>
          </w:tcPr>
          <w:p>
            <w:r>
              <w:t>Workforce health</w:t>
            </w:r>
          </w:p>
        </w:tc>
      </w:tr>
      <w:tr>
        <w:tc>
          <w:tcPr>
            <w:tcW w:type="dxa" w:w="5112"/>
          </w:tcPr>
          <w:p>
            <w:r>
              <w:t>Utilization</w:t>
            </w:r>
          </w:p>
        </w:tc>
        <w:tc>
          <w:tcPr>
            <w:tcW w:type="dxa" w:w="5112"/>
          </w:tcPr>
          <w:p>
            <w:r>
              <w:t>Economics</w:t>
            </w:r>
          </w:p>
        </w:tc>
      </w:tr>
      <w:tr>
        <w:tc>
          <w:tcPr>
            <w:tcW w:type="dxa" w:w="5112"/>
          </w:tcPr>
          <w:p>
            <w:r>
              <w:t>Repeat external clients</w:t>
            </w:r>
          </w:p>
        </w:tc>
        <w:tc>
          <w:tcPr>
            <w:tcW w:type="dxa" w:w="5112"/>
          </w:tcPr>
          <w:p>
            <w:r>
              <w:t>Commercial traction</w:t>
            </w:r>
          </w:p>
        </w:tc>
      </w:tr>
      <w:tr>
        <w:tc>
          <w:tcPr>
            <w:tcW w:type="dxa" w:w="5112"/>
          </w:tcPr>
          <w:p>
            <w:r>
              <w:t>ASOJU mission fulfillment</w:t>
            </w:r>
          </w:p>
        </w:tc>
        <w:tc>
          <w:tcPr>
            <w:tcW w:type="dxa" w:w="5112"/>
          </w:tcPr>
          <w:p>
            <w:r>
              <w:t>Internal value</w:t>
            </w:r>
          </w:p>
        </w:tc>
      </w:tr>
      <w:tr>
        <w:tc>
          <w:tcPr>
            <w:tcW w:type="dxa" w:w="5112"/>
          </w:tcPr>
          <w:p>
            <w:r>
              <w:t>Gross margin</w:t>
            </w:r>
          </w:p>
        </w:tc>
        <w:tc>
          <w:tcPr>
            <w:tcW w:type="dxa" w:w="5112"/>
          </w:tcPr>
          <w:p>
            <w:r>
              <w:t>Business sustainability</w:t>
            </w:r>
          </w:p>
        </w:tc>
      </w:tr>
    </w:tbl>
    <w:p>
      <w:pPr>
        <w:pStyle w:val="Heading1"/>
      </w:pPr>
      <w:r>
        <w:t>31. Roadmap</w:t>
      </w:r>
    </w:p>
    <w:p>
      <w:pPr>
        <w:pStyle w:val="Heading2"/>
      </w:pPr>
      <w:r>
        <w:t>Phase 1 — ASOJU-Controlled Core</w:t>
      </w:r>
    </w:p>
    <w:p>
      <w:pPr>
        <w:pStyle w:val="ListBullet"/>
      </w:pPr>
      <w:r>
        <w:t>Agent network</w:t>
      </w:r>
    </w:p>
    <w:p>
      <w:pPr>
        <w:pStyle w:val="ListBullet"/>
      </w:pPr>
      <w:r>
        <w:t>Verification</w:t>
      </w:r>
    </w:p>
    <w:p>
      <w:pPr>
        <w:pStyle w:val="ListBullet"/>
      </w:pPr>
      <w:r>
        <w:t>Coverage</w:t>
      </w:r>
    </w:p>
    <w:p>
      <w:pPr>
        <w:pStyle w:val="ListBullet"/>
      </w:pPr>
      <w:r>
        <w:t>Mission execution</w:t>
      </w:r>
    </w:p>
    <w:p>
      <w:pPr>
        <w:pStyle w:val="ListBullet"/>
      </w:pPr>
      <w:r>
        <w:t>GPS</w:t>
      </w:r>
    </w:p>
    <w:p>
      <w:pPr>
        <w:pStyle w:val="ListBullet"/>
      </w:pPr>
      <w:r>
        <w:t>Evidence</w:t>
      </w:r>
    </w:p>
    <w:p>
      <w:pPr>
        <w:pStyle w:val="ListBullet"/>
      </w:pPr>
      <w:r>
        <w:t>Offline</w:t>
      </w:r>
    </w:p>
    <w:p>
      <w:pPr>
        <w:pStyle w:val="ListBullet"/>
      </w:pPr>
      <w:r>
        <w:t>Escalation</w:t>
      </w:r>
    </w:p>
    <w:p>
      <w:pPr>
        <w:pStyle w:val="ListBullet"/>
      </w:pPr>
      <w:r>
        <w:t>QC</w:t>
      </w:r>
    </w:p>
    <w:p>
      <w:pPr>
        <w:pStyle w:val="ListBullet"/>
      </w:pPr>
      <w:r>
        <w:t>Wallet</w:t>
      </w:r>
    </w:p>
    <w:p>
      <w:pPr>
        <w:pStyle w:val="ListBullet"/>
      </w:pPr>
      <w:r>
        <w:t>Operations</w:t>
      </w:r>
    </w:p>
    <w:p>
      <w:pPr>
        <w:pStyle w:val="ListBullet"/>
      </w:pPr>
      <w:r>
        <w:t>ASOJU API</w:t>
      </w:r>
    </w:p>
    <w:p>
      <w:pPr>
        <w:pStyle w:val="ListBullet"/>
      </w:pPr>
      <w:r>
        <w:t>Internal service economics</w:t>
      </w:r>
    </w:p>
    <w:p>
      <w:pPr>
        <w:pStyle w:val="Heading2"/>
      </w:pPr>
      <w:r>
        <w:t>Phase 2 — Commercial Expansion</w:t>
      </w:r>
    </w:p>
    <w:p>
      <w:pPr>
        <w:pStyle w:val="ListBullet"/>
      </w:pPr>
      <w:r>
        <w:t>External client portal</w:t>
      </w:r>
    </w:p>
    <w:p>
      <w:pPr>
        <w:pStyle w:val="ListBullet"/>
      </w:pPr>
      <w:r>
        <w:t>Multi-tenancy</w:t>
      </w:r>
    </w:p>
    <w:p>
      <w:pPr>
        <w:pStyle w:val="ListBullet"/>
      </w:pPr>
      <w:r>
        <w:t>Service catalog</w:t>
      </w:r>
    </w:p>
    <w:p>
      <w:pPr>
        <w:pStyle w:val="ListBullet"/>
      </w:pPr>
      <w:r>
        <w:t>Pricing/SLA</w:t>
      </w:r>
    </w:p>
    <w:p>
      <w:pPr>
        <w:pStyle w:val="ListBullet"/>
      </w:pPr>
      <w:r>
        <w:t>Reputation</w:t>
      </w:r>
    </w:p>
    <w:p>
      <w:pPr>
        <w:pStyle w:val="ListBullet"/>
      </w:pPr>
      <w:r>
        <w:t>Academy</w:t>
      </w:r>
    </w:p>
    <w:p>
      <w:pPr>
        <w:pStyle w:val="ListBullet"/>
      </w:pPr>
      <w:r>
        <w:t>Certifications</w:t>
      </w:r>
    </w:p>
    <w:p>
      <w:pPr>
        <w:pStyle w:val="ListBullet"/>
      </w:pPr>
      <w:r>
        <w:t>Availability</w:t>
      </w:r>
    </w:p>
    <w:p>
      <w:pPr>
        <w:pStyle w:val="ListBullet"/>
      </w:pPr>
      <w:r>
        <w:t>Matching</w:t>
      </w:r>
    </w:p>
    <w:p>
      <w:pPr>
        <w:pStyle w:val="ListBullet"/>
      </w:pPr>
      <w:r>
        <w:t>Expenses</w:t>
      </w:r>
    </w:p>
    <w:p>
      <w:pPr>
        <w:pStyle w:val="ListBullet"/>
      </w:pPr>
      <w:r>
        <w:t>Safety</w:t>
      </w:r>
    </w:p>
    <w:p>
      <w:pPr>
        <w:pStyle w:val="ListBullet"/>
      </w:pPr>
      <w:r>
        <w:t>Trust console</w:t>
      </w:r>
    </w:p>
    <w:p>
      <w:pPr>
        <w:pStyle w:val="ListBullet"/>
      </w:pPr>
      <w:r>
        <w:t>Enterprise API</w:t>
      </w:r>
    </w:p>
    <w:p>
      <w:pPr>
        <w:pStyle w:val="Heading2"/>
      </w:pPr>
      <w:r>
        <w:t>Phase 3 — National Network</w:t>
      </w:r>
    </w:p>
    <w:p>
      <w:pPr>
        <w:pStyle w:val="ListBullet"/>
      </w:pPr>
      <w:r>
        <w:t>Capacity forecasting</w:t>
      </w:r>
    </w:p>
    <w:p>
      <w:pPr>
        <w:pStyle w:val="ListBullet"/>
      </w:pPr>
      <w:r>
        <w:t>Demand forecasting</w:t>
      </w:r>
    </w:p>
    <w:p>
      <w:pPr>
        <w:pStyle w:val="ListBullet"/>
      </w:pPr>
      <w:r>
        <w:t>AI assistance</w:t>
      </w:r>
    </w:p>
    <w:p>
      <w:pPr>
        <w:pStyle w:val="ListBullet"/>
      </w:pPr>
      <w:r>
        <w:t>Dynamic pricing</w:t>
      </w:r>
    </w:p>
    <w:p>
      <w:pPr>
        <w:pStyle w:val="ListBullet"/>
      </w:pPr>
      <w:r>
        <w:t>Reserve optimization</w:t>
      </w:r>
    </w:p>
    <w:p>
      <w:pPr>
        <w:pStyle w:val="ListBullet"/>
      </w:pPr>
      <w:r>
        <w:t>Enterprise field programs</w:t>
      </w:r>
    </w:p>
    <w:p>
      <w:pPr>
        <w:pStyle w:val="ListBullet"/>
      </w:pPr>
      <w:r>
        <w:t>Advanced anomaly detection</w:t>
      </w:r>
    </w:p>
    <w:p>
      <w:pPr>
        <w:pStyle w:val="ListBullet"/>
      </w:pPr>
      <w:r>
        <w:t>Partner ecosystem</w:t>
      </w:r>
    </w:p>
    <w:p>
      <w:pPr>
        <w:pStyle w:val="ListBullet"/>
      </w:pPr>
      <w:r>
        <w:t>International expansion</w:t>
      </w:r>
    </w:p>
    <w:p>
      <w:pPr>
        <w:pStyle w:val="Heading1"/>
      </w:pPr>
      <w:r>
        <w:t>32. Success Scenario</w:t>
      </w:r>
    </w:p>
    <w:p>
      <w:r>
        <w:t>An ASOJU customer requests a property inspection. ASOJU sends a structured field request. FieldForce checks coverage and capability, selects a qualified operator, executes the mission with GPS and evidence controls, performs QC, returns the verified result to ASOJU, and settles the agent. The same infrastructure can later execute a bank verification for another client.</w:t>
      </w:r>
    </w:p>
    <w:p>
      <w:pPr>
        <w:pStyle w:val="Heading1"/>
      </w:pPr>
      <w:r>
        <w:t>33. Final Product Definition</w:t>
      </w:r>
    </w:p>
    <w:p>
      <w:r>
        <w:t>FieldForce is the physical-execution arm and workforce business of ASOJU Group: controlled enough to protect ASOJU's trust model, independent enough to operate professionally, and scalable enough to become a commercial field-services network.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ASOJU FieldForce • Product Blueprint v3.0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