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ASOJU FIELDFORCE</w:t>
      </w:r>
    </w:p>
    <w:p>
      <w:pPr>
        <w:jc w:val="center"/>
      </w:pPr>
      <w:r>
        <w:rPr>
          <w:b/>
          <w:sz w:val="48"/>
        </w:rPr>
        <w:t>v4.0 CONSOLIDATED PRODUCT &amp; ARCHITECTURE MASTER BLUEPRINT</w:t>
      </w:r>
    </w:p>
    <w:p>
      <w:pPr>
        <w:jc w:val="center"/>
      </w:pPr>
      <w:r>
        <w:rPr>
          <w:i/>
        </w:rPr>
        <w:t>Canonical product direction • workforce operating system • engineering handoff</w:t>
      </w:r>
    </w:p>
    <w:p>
      <w:r>
        <w:t>Status: Consolidated master specification</w:t>
        <w:br/>
        <w:t>Version: 4.0</w:t>
        <w:br/>
        <w:t>Purpose: Single source of truth for product, architecture, operations, workforce, AI, finance, governance and ASOJU integration.</w:t>
      </w:r>
    </w:p>
    <w:p>
      <w:pPr>
        <w:pStyle w:val="Heading1"/>
      </w:pPr>
      <w:r>
        <w:t>1. Executive Positioning</w:t>
      </w:r>
    </w:p>
    <w:p>
      <w:pPr>
        <w:pStyle w:val="ListBullet"/>
      </w:pPr>
      <w:r>
        <w:t>FieldForce is ASOJU's specialized workforce infrastructure and real-world execution layer.</w:t>
      </w:r>
    </w:p>
    <w:p>
      <w:pPr>
        <w:pStyle w:val="ListBullet"/>
      </w:pPr>
      <w:r>
        <w:t>It is operationally independent enough to recruit, train, certify, manage and retain a nationwide pool of field agents, while remaining structurally integrated with ASOJU's customer, case and commercial ecosystem.</w:t>
      </w:r>
    </w:p>
    <w:p>
      <w:pPr>
        <w:pStyle w:val="ListBullet"/>
      </w:pPr>
      <w:r>
        <w:t>FieldForce should not become a second ASOJU. Its purpose is to make physical execution predictable, scalable, measurable and trustworthy.</w:t>
      </w:r>
    </w:p>
    <w:p>
      <w:pPr>
        <w:pStyle w:val="Heading1"/>
      </w:pPr>
      <w:r>
        <w:t>2. Strategic North Star</w:t>
      </w:r>
    </w:p>
    <w:p>
      <w:pPr>
        <w:pStyle w:val="ListBullet"/>
      </w:pPr>
      <w:r>
        <w:t>North-star metric: qualified, available execution capacity by service × geography × time window.</w:t>
      </w:r>
    </w:p>
    <w:p>
      <w:pPr>
        <w:pStyle w:val="ListBullet"/>
      </w:pPr>
      <w:r>
        <w:t>Business objective: maintain a ready pool of experienced, trusted agents so ASOJU does not have to recruit from scratch after a customer has already paid.</w:t>
      </w:r>
    </w:p>
    <w:p>
      <w:pPr>
        <w:pStyle w:val="ListBullet"/>
      </w:pPr>
      <w:r>
        <w:t>Compounding moat: more verified missions create better performance data, better training, better matching, better outcomes and stronger workforce retention.</w:t>
      </w:r>
    </w:p>
    <w:p>
      <w:pPr>
        <w:pStyle w:val="Heading1"/>
      </w:pPr>
      <w:r>
        <w:t>3. System Ownership Boundary</w:t>
      </w:r>
    </w:p>
    <w:p>
      <w:pPr>
        <w:pStyle w:val="ListBullet"/>
      </w:pPr>
      <w:r>
        <w:t>ASOJU authoritative domains: customers, cases, service requests, commercial/quotes, customer payments and customer-facing business outcomes.</w:t>
      </w:r>
    </w:p>
    <w:p>
      <w:pPr>
        <w:pStyle w:val="ListBullet"/>
      </w:pPr>
      <w:r>
        <w:t>FieldForce authoritative domains: workforce profiles, availability, capabilities, certifications, recruitment, Academy, dispatch, field execution, evidence custody, QC/rework, agent trust, agent earnings, partners and field operations.</w:t>
      </w:r>
    </w:p>
    <w:p>
      <w:pPr>
        <w:pStyle w:val="ListBullet"/>
      </w:pPr>
      <w:r>
        <w:t>Shared boundary: versioned APIs, mission/assignment contracts, events/outbox, idempotency, reconciliation and audit references.</w:t>
      </w:r>
    </w:p>
    <w:p>
      <w:pPr>
        <w:pStyle w:val="Heading1"/>
      </w:pPr>
      <w:r>
        <w:t>4. Product Surfaces</w:t>
      </w:r>
    </w:p>
    <w:p>
      <w:pPr>
        <w:pStyle w:val="ListBullet"/>
      </w:pPr>
      <w:r>
        <w:t>Agent PWA — onboarding, availability, gigs, execution, evidence, offline sync, earnings, Academy, AI Copilot and performance.</w:t>
      </w:r>
    </w:p>
    <w:p>
      <w:pPr>
        <w:pStyle w:val="ListBullet"/>
      </w:pPr>
      <w:r>
        <w:t>Operations Command Center — live missions, dispatch, SLA risk, workforce, incidents, evidence/QC, payouts, integrations and system health.</w:t>
      </w:r>
    </w:p>
    <w:p>
      <w:pPr>
        <w:pStyle w:val="ListBullet"/>
      </w:pPr>
      <w:r>
        <w:t>Partner Portal — candidate intake, campaigns, status, analytics and controlled API/webhooks.</w:t>
      </w:r>
    </w:p>
    <w:p>
      <w:pPr>
        <w:pStyle w:val="ListBullet"/>
      </w:pPr>
      <w:r>
        <w:t>FieldForce API + Integration Gateway — authoritative domain boundary with ASOJU and approved external consumers.</w:t>
      </w:r>
    </w:p>
    <w:p>
      <w:pPr>
        <w:pStyle w:val="ListBullet"/>
      </w:pPr>
      <w:r>
        <w:t>Worker/Queue infrastructure — asynchronous jobs, retries, reconciliation and scheduled operations.</w:t>
      </w:r>
    </w:p>
    <w:p>
      <w:pPr>
        <w:pStyle w:val="ListBullet"/>
      </w:pPr>
      <w:r>
        <w:t>AI services — advisory intelligence, forecasting, coaching, summaries and explanations.</w:t>
      </w:r>
    </w:p>
    <w:p>
      <w:pPr>
        <w:pStyle w:val="Heading1"/>
      </w:pPr>
      <w:r>
        <w:t>5. End-to-End Workforce Flywheel</w:t>
      </w:r>
    </w:p>
    <w:p>
      <w:pPr>
        <w:pStyle w:val="ListBullet"/>
      </w:pPr>
      <w:r>
        <w:t>Demand forecast → capacity gap → targeted recruitment → KYC → Academy → assessment → certification → activation → availability → dispatch → execution → evidence → QC → earnings → reputation → progression → higher-value work → improved future capacity.</w:t>
      </w:r>
    </w:p>
    <w:p>
      <w:pPr>
        <w:pStyle w:val="Heading1"/>
      </w:pPr>
      <w:r>
        <w:t>6. Workforce Lifecycle</w:t>
      </w:r>
    </w:p>
    <w:p>
      <w:pPr>
        <w:pStyle w:val="ListBullet"/>
      </w:pPr>
      <w:r>
        <w:t>Lead → Applied → KYC → Training → Certified → Active → Available → Assigned → Completed → Reputation → Progression.</w:t>
      </w:r>
    </w:p>
    <w:p>
      <w:pPr>
        <w:pStyle w:val="ListBullet"/>
      </w:pPr>
      <w:r>
        <w:t>Certification and activation remain controlled decisions; completing training alone does not grant field authority.</w:t>
      </w:r>
    </w:p>
    <w:p>
      <w:pPr>
        <w:pStyle w:val="Heading1"/>
      </w:pPr>
      <w:r>
        <w:t>7. Mission Lifecycle</w:t>
      </w:r>
    </w:p>
    <w:p>
      <w:pPr>
        <w:pStyle w:val="ListBullet"/>
      </w:pPr>
      <w:r>
        <w:t>Requested → Offered → Assigned → En Route → On Site → Executing → Submitting → Submitted → QC/Rework → Completed.</w:t>
      </w:r>
    </w:p>
    <w:p>
      <w:pPr>
        <w:pStyle w:val="ListBullet"/>
      </w:pPr>
      <w:r>
        <w:t>Mission state transitions are deterministic and server-authoritative. AI cannot change mission state.</w:t>
      </w:r>
    </w:p>
    <w:p>
      <w:pPr>
        <w:pStyle w:val="Heading1"/>
      </w:pPr>
      <w:r>
        <w:t>8. Marketplace &amp; Dispatch</w:t>
      </w:r>
    </w:p>
    <w:p>
      <w:pPr>
        <w:pStyle w:val="ListBullet"/>
      </w:pPr>
      <w:r>
        <w:t>Eligibility is a hard gate: active status, LGA coverage, capability, certification, tier, availability, restrictions and mission-risk suitability.</w:t>
      </w:r>
    </w:p>
    <w:p>
      <w:pPr>
        <w:pStyle w:val="ListBullet"/>
      </w:pPr>
      <w:r>
        <w:t>Ranking may consider capability strength, reliability, distance/travel feasibility, workload/fairness, tier and risk suitability.</w:t>
      </w:r>
    </w:p>
    <w:p>
      <w:pPr>
        <w:pStyle w:val="ListBullet"/>
      </w:pPr>
      <w:r>
        <w:t>Offer lifecycle: candidate → offer → pending → accepted/declined/expired → transactional assignment.</w:t>
      </w:r>
    </w:p>
    <w:p>
      <w:pPr>
        <w:pStyle w:val="ListBullet"/>
      </w:pPr>
      <w:r>
        <w:t>Two agents must never be able to successfully claim the same mission.</w:t>
      </w:r>
    </w:p>
    <w:p>
      <w:pPr>
        <w:pStyle w:val="Heading1"/>
      </w:pPr>
      <w:r>
        <w:t>9. Field Execution &amp; Offline</w:t>
      </w:r>
    </w:p>
    <w:p>
      <w:pPr>
        <w:pStyle w:val="ListBullet"/>
      </w:pPr>
      <w:r>
        <w:t>Field operations are local-first: mission cache, checklist events, GPS/check-in events, evidence queue and IndexedDB-backed sync.</w:t>
      </w:r>
    </w:p>
    <w:p>
      <w:pPr>
        <w:pStyle w:val="ListBullet"/>
      </w:pPr>
      <w:r>
        <w:t>Every retryable mutation uses an idempotency key.</w:t>
      </w:r>
    </w:p>
    <w:p>
      <w:pPr>
        <w:pStyle w:val="ListBullet"/>
      </w:pPr>
      <w:r>
        <w:t>Server remains authoritative when synchronization resumes.</w:t>
      </w:r>
    </w:p>
    <w:p>
      <w:pPr>
        <w:pStyle w:val="ListBullet"/>
      </w:pPr>
      <w:r>
        <w:t>Mission state is server-wins; evidence is append-only; financial state is server-authoritative.</w:t>
      </w:r>
    </w:p>
    <w:p>
      <w:pPr>
        <w:pStyle w:val="Heading1"/>
      </w:pPr>
      <w:r>
        <w:t>10. Evidence Trust Chain</w:t>
      </w:r>
    </w:p>
    <w:p>
      <w:pPr>
        <w:pStyle w:val="ListBullet"/>
      </w:pPr>
      <w:r>
        <w:t>Capture → timestamp/GPS → local queue → hash → upload session → private object storage → server validation → custody record → QC → ASOJU result.</w:t>
      </w:r>
    </w:p>
    <w:p>
      <w:pPr>
        <w:pStyle w:val="ListBullet"/>
      </w:pPr>
      <w:r>
        <w:t>Evidence is append-only and auditable. EXIF is minimized/stripped while authoritative capture metadata is stored separately.</w:t>
      </w:r>
    </w:p>
    <w:p>
      <w:pPr>
        <w:pStyle w:val="ListBullet"/>
      </w:pPr>
      <w:r>
        <w:t>AI cannot fabricate, validate or replace field evidence.</w:t>
      </w:r>
    </w:p>
    <w:p>
      <w:pPr>
        <w:pStyle w:val="Heading1"/>
      </w:pPr>
      <w:r>
        <w:t>11. QC &amp; Rework</w:t>
      </w:r>
    </w:p>
    <w:p>
      <w:pPr>
        <w:pStyle w:val="ListBullet"/>
      </w:pPr>
      <w:r>
        <w:t>Submission → automated validation → human QC → APPROVE / REWORK / REJECT → feedback → resubmission → final approval.</w:t>
      </w:r>
    </w:p>
    <w:p>
      <w:pPr>
        <w:pStyle w:val="ListBullet"/>
      </w:pPr>
      <w:r>
        <w:t>Automated checks can surface findings; consequential QC disposition remains reviewable by authorized humans.</w:t>
      </w:r>
    </w:p>
    <w:p>
      <w:pPr>
        <w:pStyle w:val="ListBullet"/>
      </w:pPr>
      <w:r>
        <w:t>Rework never overwrites original evidence.</w:t>
      </w:r>
    </w:p>
    <w:p>
      <w:pPr>
        <w:pStyle w:val="Heading1"/>
      </w:pPr>
      <w:r>
        <w:t>12. Finance</w:t>
      </w:r>
    </w:p>
    <w:p>
      <w:pPr>
        <w:pStyle w:val="ListBullet"/>
      </w:pPr>
      <w:r>
        <w:t>Mission QC approval → earnings ledger → cleared balance → payout request → payment provider → webhook → reconciliation.</w:t>
      </w:r>
    </w:p>
    <w:p>
      <w:pPr>
        <w:pStyle w:val="ListBullet"/>
      </w:pPr>
      <w:r>
        <w:t>Monetary values use integer minor units and explicit currency.</w:t>
      </w:r>
    </w:p>
    <w:p>
      <w:pPr>
        <w:pStyle w:val="ListBullet"/>
      </w:pPr>
      <w:r>
        <w:t>Production finance should mature to a true double-entry ledger with pending, cleared and payable states.</w:t>
      </w:r>
    </w:p>
    <w:p>
      <w:pPr>
        <w:pStyle w:val="ListBullet"/>
      </w:pPr>
      <w:r>
        <w:t>Agents cannot directly control balances; provider status is reconciled from trusted provider events.</w:t>
      </w:r>
    </w:p>
    <w:p>
      <w:pPr>
        <w:pStyle w:val="Heading1"/>
      </w:pPr>
      <w:r>
        <w:t>13. Reputation, Trust &amp; Career</w:t>
      </w:r>
    </w:p>
    <w:p>
      <w:pPr>
        <w:pStyle w:val="ListBullet"/>
      </w:pPr>
      <w:r>
        <w:t>Verified signals include completed missions, QC approval/rework, cancellations, SLA performance, safety, capabilities, certifications and incidents.</w:t>
      </w:r>
    </w:p>
    <w:p>
      <w:pPr>
        <w:pStyle w:val="ListBullet"/>
      </w:pPr>
      <w:r>
        <w:t>Tier path: ENTRY → BRONZE → SILVER → GOLD → SPECIALIST.</w:t>
      </w:r>
    </w:p>
    <w:p>
      <w:pPr>
        <w:pStyle w:val="ListBullet"/>
      </w:pPr>
      <w:r>
        <w:t>Trust restrictions such as safety or fraud review remain separate from ordinary performance scoring and must be auditable.</w:t>
      </w:r>
    </w:p>
    <w:p>
      <w:pPr>
        <w:pStyle w:val="ListBullet"/>
      </w:pPr>
      <w:r>
        <w:t>Agents should see their score, contributing signals, improvement path and appeal route where applicable.</w:t>
      </w:r>
    </w:p>
    <w:p>
      <w:pPr>
        <w:pStyle w:val="Heading1"/>
      </w:pPr>
      <w:r>
        <w:t>14. Geographic Workforce Network</w:t>
      </w:r>
    </w:p>
    <w:p>
      <w:pPr>
        <w:pStyle w:val="ListBullet"/>
      </w:pPr>
      <w:r>
        <w:t>Measure qualified execution capacity by service × LGA × time window.</w:t>
      </w:r>
    </w:p>
    <w:p>
      <w:pPr>
        <w:pStyle w:val="ListBullet"/>
      </w:pPr>
      <w:r>
        <w:t>Track total agents, active agents, qualified agents, service coverage, utilization, demand and SLA risk.</w:t>
      </w:r>
    </w:p>
    <w:p>
      <w:pPr>
        <w:pStyle w:val="ListBullet"/>
      </w:pPr>
      <w:r>
        <w:t>Travel feasibility should use road/travel-time data in production; straight-line distance is only a baseline.</w:t>
      </w:r>
    </w:p>
    <w:p>
      <w:pPr>
        <w:pStyle w:val="Heading1"/>
      </w:pPr>
      <w:r>
        <w:t>15. Demand Forecasting &amp; Capacity Planning</w:t>
      </w:r>
    </w:p>
    <w:p>
      <w:pPr>
        <w:pStyle w:val="ListBullet"/>
      </w:pPr>
      <w:r>
        <w:t>Forecast demand by service and geography using historical requests, seasonality, pipeline signals and demand acceleration.</w:t>
      </w:r>
    </w:p>
    <w:p>
      <w:pPr>
        <w:pStyle w:val="ListBullet"/>
      </w:pPr>
      <w:r>
        <w:t>Compare forecast demand with qualified available capacity and reserve requirements.</w:t>
      </w:r>
    </w:p>
    <w:p>
      <w:pPr>
        <w:pStyle w:val="ListBullet"/>
      </w:pPr>
      <w:r>
        <w:t>Outputs: capacity gap, recruitment priority, training priority, geographic expansion priority and reserve requirement.</w:t>
      </w:r>
    </w:p>
    <w:p>
      <w:pPr>
        <w:pStyle w:val="ListBullet"/>
      </w:pPr>
      <w:r>
        <w:t>AI may forecast and explain patterns; deterministic planning rules convert forecasts into operational thresholds.</w:t>
      </w:r>
    </w:p>
    <w:p>
      <w:pPr>
        <w:pStyle w:val="Heading1"/>
      </w:pPr>
      <w:r>
        <w:t>16. Workforce Academy</w:t>
      </w:r>
    </w:p>
    <w:p>
      <w:pPr>
        <w:pStyle w:val="ListBullet"/>
      </w:pPr>
      <w:r>
        <w:t>Forecast gap → training cohort → assessment → certification → capability activation.</w:t>
      </w:r>
    </w:p>
    <w:p>
      <w:pPr>
        <w:pStyle w:val="ListBullet"/>
      </w:pPr>
      <w:r>
        <w:t>Learning paths should cover evidence, safety, service-specific skills and specialist pathways.</w:t>
      </w:r>
    </w:p>
    <w:p>
      <w:pPr>
        <w:pStyle w:val="ListBullet"/>
      </w:pPr>
      <w:r>
        <w:t>AI may tutor and personalize learning using approved content, but cannot self-certify agents.</w:t>
      </w:r>
    </w:p>
    <w:p>
      <w:pPr>
        <w:pStyle w:val="Heading1"/>
      </w:pPr>
      <w:r>
        <w:t>17. Recruitment &amp; Partner Ecosystem</w:t>
      </w:r>
    </w:p>
    <w:p>
      <w:pPr>
        <w:pStyle w:val="ListBullet"/>
      </w:pPr>
      <w:r>
        <w:t>Recruitment channels include referrals, community networks, professional associations, training providers and recruitment partners.</w:t>
      </w:r>
    </w:p>
    <w:p>
      <w:pPr>
        <w:pStyle w:val="ListBullet"/>
      </w:pPr>
      <w:r>
        <w:t>Partner flow: approved partner → campaign/target → candidate consent → intake → KYC → Academy → certification → activation → performance attribution.</w:t>
      </w:r>
    </w:p>
    <w:p>
      <w:pPr>
        <w:pStyle w:val="ListBullet"/>
      </w:pPr>
      <w:r>
        <w:t>Partners provide talent; FieldForce owns verification, training, certification, trust and activation.</w:t>
      </w:r>
    </w:p>
    <w:p>
      <w:pPr>
        <w:pStyle w:val="ListBullet"/>
      </w:pPr>
      <w:r>
        <w:t>Partners cannot bypass KYC, alter trust, assign missions or access customer PII.</w:t>
      </w:r>
    </w:p>
    <w:p>
      <w:pPr>
        <w:pStyle w:val="Heading1"/>
      </w:pPr>
      <w:r>
        <w:t>18. AI Architecture &amp; Decision Boundary</w:t>
      </w:r>
    </w:p>
    <w:p>
      <w:pPr>
        <w:pStyle w:val="ListBullet"/>
      </w:pPr>
      <w:r>
        <w:t>AI use cases: mission briefs, checklist explanation, coaching, training, dispatch explanations, QC assistance, operations summaries, forecasting and anomaly triage.</w:t>
      </w:r>
    </w:p>
    <w:p>
      <w:pPr>
        <w:pStyle w:val="ListBullet"/>
      </w:pPr>
      <w:r>
        <w:t>AI is advisory. Deterministic systems decide eligibility, assignment, GPS validation, mission state, evidence custody, QC outcome, payout release and trust restrictions.</w:t>
      </w:r>
    </w:p>
    <w:p>
      <w:pPr>
        <w:pStyle w:val="ListBullet"/>
      </w:pPr>
      <w:r>
        <w:t>AI context is minimized and customer PII is excluded unless explicitly necessary and authorized.</w:t>
      </w:r>
    </w:p>
    <w:p>
      <w:pPr>
        <w:pStyle w:val="ListBullet"/>
      </w:pPr>
      <w:r>
        <w:t>All consequential AI-assisted workflows should expose task, summary, recommendations, confidence, model/provider and timestamp.</w:t>
      </w:r>
    </w:p>
    <w:p>
      <w:pPr>
        <w:pStyle w:val="Heading1"/>
      </w:pPr>
      <w:r>
        <w:t>19. Operations Command Center</w:t>
      </w:r>
    </w:p>
    <w:p>
      <w:pPr>
        <w:pStyle w:val="ListBullet"/>
      </w:pPr>
      <w:r>
        <w:t>Single operational view: missions, SLA risk, workforce, dispatch, incidents, evidence, QC, payouts, integrations and system health.</w:t>
      </w:r>
    </w:p>
    <w:p>
      <w:pPr>
        <w:pStyle w:val="ListBullet"/>
      </w:pPr>
      <w:r>
        <w:t>Priority order: critical safety/SLA risks → blocked missions → evidence/QC exceptions → financial/integration exceptions → routine work.</w:t>
      </w:r>
    </w:p>
    <w:p>
      <w:pPr>
        <w:pStyle w:val="ListBullet"/>
      </w:pPr>
      <w:r>
        <w:t>Every incident has severity, owner, status, timestamps, actions and resolution/audit history.</w:t>
      </w:r>
    </w:p>
    <w:p>
      <w:pPr>
        <w:pStyle w:val="Heading1"/>
      </w:pPr>
      <w:r>
        <w:t>20. Security &amp; Privacy</w:t>
      </w:r>
    </w:p>
    <w:p>
      <w:pPr>
        <w:pStyle w:val="ListBullet"/>
      </w:pPr>
      <w:r>
        <w:t>Strict BOLA/IDOR prevention.</w:t>
      </w:r>
    </w:p>
    <w:p>
      <w:pPr>
        <w:pStyle w:val="ListBullet"/>
      </w:pPr>
      <w:r>
        <w:t>Least privilege, tenant isolation, scoped API credentials and signed webhooks.</w:t>
      </w:r>
    </w:p>
    <w:p>
      <w:pPr>
        <w:pStyle w:val="ListBullet"/>
      </w:pPr>
      <w:r>
        <w:t>Agent views exclude unnecessary customer PII and commercial/payment information.</w:t>
      </w:r>
    </w:p>
    <w:p>
      <w:pPr>
        <w:pStyle w:val="ListBullet"/>
      </w:pPr>
      <w:r>
        <w:t>Privileged actions require authorization and audit records.</w:t>
      </w:r>
    </w:p>
    <w:p>
      <w:pPr>
        <w:pStyle w:val="ListBullet"/>
      </w:pPr>
      <w:r>
        <w:t>Sensitive data is encrypted in transit and at rest.</w:t>
      </w:r>
    </w:p>
    <w:p>
      <w:pPr>
        <w:pStyle w:val="Heading1"/>
      </w:pPr>
      <w:r>
        <w:t>21. Reliability &amp; Observability</w:t>
      </w:r>
    </w:p>
    <w:p>
      <w:pPr>
        <w:pStyle w:val="ListBullet"/>
      </w:pPr>
      <w:r>
        <w:t>Use durable queues, outbox pattern, retries/backoff, dead-letter handling, reconciliation, health/readiness, structured logs, metrics and tracing.</w:t>
      </w:r>
    </w:p>
    <w:p>
      <w:pPr>
        <w:pStyle w:val="ListBullet"/>
      </w:pPr>
      <w:r>
        <w:t>Core metrics include API latency/error rate, queue depth/age, sync failures, evidence upload failures, QC backlog, payout failures and integration delivery.</w:t>
      </w:r>
    </w:p>
    <w:p>
      <w:pPr>
        <w:pStyle w:val="Heading1"/>
      </w:pPr>
      <w:r>
        <w:t>22. Canonical Architecture</w:t>
      </w:r>
    </w:p>
    <w:p>
      <w:pPr>
        <w:pStyle w:val="ListBullet"/>
      </w:pPr>
      <w:r>
        <w:t>ASOJU Core → Integration Gateway → FieldForce API → domain services.</w:t>
      </w:r>
    </w:p>
    <w:p>
      <w:pPr>
        <w:pStyle w:val="ListBullet"/>
      </w:pPr>
      <w:r>
        <w:t>Domain services: Workforce, Dispatch, Execution, Evidence, QC, Trust, Finance, Academy, Recruitment, Partners, Geography, Operations.</w:t>
      </w:r>
    </w:p>
    <w:p>
      <w:pPr>
        <w:pStyle w:val="ListBullet"/>
      </w:pPr>
      <w:r>
        <w:t>Cross-cutting infrastructure: Auth/RBAC, audit, idempotency, outbox, queues, observability, object storage and AI provider adapter.</w:t>
      </w:r>
    </w:p>
    <w:p>
      <w:pPr>
        <w:pStyle w:val="ListBullet"/>
      </w:pPr>
      <w:r>
        <w:t>Agent PWA, Ops Console and Partner Portal consume versioned contracts rather than inventing independent data models.</w:t>
      </w:r>
    </w:p>
    <w:p>
      <w:pPr>
        <w:pStyle w:val="Heading1"/>
      </w:pPr>
      <w:r>
        <w:t>23. Implementation Roadmap</w:t>
      </w:r>
    </w:p>
    <w:p>
      <w:pPr>
        <w:pStyle w:val="ListBullet"/>
      </w:pPr>
      <w:r>
        <w:t>Phase A: production foundation — canonical schema, OpenAPI, auth/RBAC, queues, object storage, observability, CI/CD, secrets, backups.</w:t>
      </w:r>
    </w:p>
    <w:p>
      <w:pPr>
        <w:pStyle w:val="ListBullet"/>
      </w:pPr>
      <w:r>
        <w:t>Phase B: core execution — ASOJU synchronization, dispatch, GPS, offline sync, evidence, QC.</w:t>
      </w:r>
    </w:p>
    <w:p>
      <w:pPr>
        <w:pStyle w:val="ListBullet"/>
      </w:pPr>
      <w:r>
        <w:t>Phase C: workforce engine — recruitment, Academy, certification, reputation, geography, capacity.</w:t>
      </w:r>
    </w:p>
    <w:p>
      <w:pPr>
        <w:pStyle w:val="ListBullet"/>
      </w:pPr>
      <w:r>
        <w:t>Phase D: network — partners, referrals, partner APIs.</w:t>
      </w:r>
    </w:p>
    <w:p>
      <w:pPr>
        <w:pStyle w:val="ListBullet"/>
      </w:pPr>
      <w:r>
        <w:t>Phase E: intelligence — AI copilot, training, forecasting, operations intelligence.</w:t>
      </w:r>
    </w:p>
    <w:p>
      <w:pPr>
        <w:pStyle w:val="ListBullet"/>
      </w:pPr>
      <w:r>
        <w:t>Phase F: finance — double-entry ledger, Paystack transfers/webhooks, reconciliation and controls.</w:t>
      </w:r>
    </w:p>
    <w:p>
      <w:pPr>
        <w:pStyle w:val="ListBullet"/>
      </w:pPr>
      <w:r>
        <w:t>Phase G: Command Center — live operations, incidents, SLA alerts, maps and executive reporting.</w:t>
      </w:r>
    </w:p>
    <w:p>
      <w:pPr>
        <w:pStyle w:val="Heading1"/>
      </w:pPr>
      <w:r>
        <w:t>24. Governance Non-Negotiables</w:t>
      </w:r>
    </w:p>
    <w:p>
      <w:pPr>
        <w:pStyle w:val="ListBullet"/>
      </w:pPr>
      <w:r>
        <w:t>No fake or synthetic field evidence.</w:t>
      </w:r>
    </w:p>
    <w:p>
      <w:pPr>
        <w:pStyle w:val="ListBullet"/>
      </w:pPr>
      <w:r>
        <w:t>No AI override of deterministic controls.</w:t>
      </w:r>
    </w:p>
    <w:p>
      <w:pPr>
        <w:pStyle w:val="ListBullet"/>
      </w:pPr>
      <w:r>
        <w:t>No bypass of KYC/certification/trust restrictions.</w:t>
      </w:r>
    </w:p>
    <w:p>
      <w:pPr>
        <w:pStyle w:val="ListBullet"/>
      </w:pPr>
      <w:r>
        <w:t>No client-controlled financial balance.</w:t>
      </w:r>
    </w:p>
    <w:p>
      <w:pPr>
        <w:pStyle w:val="ListBullet"/>
      </w:pPr>
      <w:r>
        <w:t>No customer PII leakage into agent/partner views.</w:t>
      </w:r>
    </w:p>
    <w:p>
      <w:pPr>
        <w:pStyle w:val="ListBullet"/>
      </w:pPr>
      <w:r>
        <w:t>No non-audited privileged operations.</w:t>
      </w:r>
    </w:p>
    <w:p>
      <w:pPr>
        <w:pStyle w:val="ListBullet"/>
      </w:pPr>
      <w:r>
        <w:t>Breaking API/event changes require versioning.</w:t>
      </w:r>
    </w:p>
    <w:p>
      <w:pPr>
        <w:pStyle w:val="ListBullet"/>
      </w:pPr>
      <w:r>
        <w:t>Policy changes require explicit version/migration records.</w:t>
      </w:r>
    </w:p>
    <w:p>
      <w:pPr>
        <w:pStyle w:val="Heading1"/>
      </w:pPr>
      <w:r>
        <w:t>25. Definition of Done</w:t>
      </w:r>
    </w:p>
    <w:p>
      <w:pPr>
        <w:pStyle w:val="ListBullet"/>
      </w:pPr>
      <w:r>
        <w:t>FieldForce is production-ready when an eligible, trained agent can receive an ASOJU mission, execute it reliably under poor connectivity, produce trustworthy evidence, pass deterministic QC, receive correctly reconciled earnings, and have every consequential action auditable end-to-end.</w:t>
      </w:r>
    </w:p>
    <w:p>
      <w:r>
        <w:br w:type="page"/>
      </w:r>
    </w:p>
    <w:p>
      <w:pPr>
        <w:pStyle w:val="Heading1"/>
      </w:pPr>
      <w:r>
        <w:t>Canonical Document Inventory</w:t>
      </w:r>
    </w:p>
    <w:p>
      <w:pPr>
        <w:pStyle w:val="ListNumber"/>
      </w:pPr>
      <w:r>
        <w:t>1. Unified Data &amp; Migrations v2.2</w:t>
      </w:r>
    </w:p>
    <w:p>
      <w:pPr>
        <w:pStyle w:val="ListNumber"/>
      </w:pPr>
      <w:r>
        <w:t>2. API Contracts &amp; SDK v2.3</w:t>
      </w:r>
    </w:p>
    <w:p>
      <w:pPr>
        <w:pStyle w:val="ListNumber"/>
      </w:pPr>
      <w:r>
        <w:t>3. Event Workers &amp; Observability v2.4</w:t>
      </w:r>
    </w:p>
    <w:p>
      <w:pPr>
        <w:pStyle w:val="ListNumber"/>
      </w:pPr>
      <w:r>
        <w:t>4. Offline Sync v2.5</w:t>
      </w:r>
    </w:p>
    <w:p>
      <w:pPr>
        <w:pStyle w:val="ListNumber"/>
      </w:pPr>
      <w:r>
        <w:t>5. Evidence &amp; Media v2.6</w:t>
      </w:r>
    </w:p>
    <w:p>
      <w:pPr>
        <w:pStyle w:val="ListNumber"/>
      </w:pPr>
      <w:r>
        <w:t>6. QC &amp; Rework v2.7</w:t>
      </w:r>
    </w:p>
    <w:p>
      <w:pPr>
        <w:pStyle w:val="ListNumber"/>
      </w:pPr>
      <w:r>
        <w:t>7. Finance Ledger &amp; Payments v2.8</w:t>
      </w:r>
    </w:p>
    <w:p>
      <w:pPr>
        <w:pStyle w:val="ListNumber"/>
      </w:pPr>
      <w:r>
        <w:t>8. Marketplace &amp; Dispatch v2.9</w:t>
      </w:r>
    </w:p>
    <w:p>
      <w:pPr>
        <w:pStyle w:val="ListNumber"/>
      </w:pPr>
      <w:r>
        <w:t>9. AI Workforce Intelligence v3.0</w:t>
      </w:r>
    </w:p>
    <w:p>
      <w:pPr>
        <w:pStyle w:val="ListNumber"/>
      </w:pPr>
      <w:r>
        <w:t>10. AI Agent Copilot &amp; Training v3.1</w:t>
      </w:r>
    </w:p>
    <w:p>
      <w:pPr>
        <w:pStyle w:val="ListNumber"/>
      </w:pPr>
      <w:r>
        <w:t>11. Reputation, Trust &amp; Career v3.2</w:t>
      </w:r>
    </w:p>
    <w:p>
      <w:pPr>
        <w:pStyle w:val="ListNumber"/>
      </w:pPr>
      <w:r>
        <w:t>12. Geographic Intelligence v3.3</w:t>
      </w:r>
    </w:p>
    <w:p>
      <w:pPr>
        <w:pStyle w:val="ListNumber"/>
      </w:pPr>
      <w:r>
        <w:t>13. Demand Forecasting &amp; Capacity v3.4</w:t>
      </w:r>
    </w:p>
    <w:p>
      <w:pPr>
        <w:pStyle w:val="ListNumber"/>
      </w:pPr>
      <w:r>
        <w:t>14. Workforce Academy v3.5</w:t>
      </w:r>
    </w:p>
    <w:p>
      <w:pPr>
        <w:pStyle w:val="ListNumber"/>
      </w:pPr>
      <w:r>
        <w:t>15. Recruitment &amp; Referrals v3.6</w:t>
      </w:r>
    </w:p>
    <w:p>
      <w:pPr>
        <w:pStyle w:val="ListNumber"/>
      </w:pPr>
      <w:r>
        <w:t>16. Partner Network v3.7</w:t>
      </w:r>
    </w:p>
    <w:p>
      <w:pPr>
        <w:pStyle w:val="ListNumber"/>
      </w:pPr>
      <w:r>
        <w:t>17. Partner Portal &amp; External APIs v3.8</w:t>
      </w:r>
    </w:p>
    <w:p>
      <w:pPr>
        <w:pStyle w:val="ListNumber"/>
      </w:pPr>
      <w:r>
        <w:t>18. Operations Command Center v3.9</w:t>
      </w:r>
    </w:p>
    <w:p>
      <w:pPr>
        <w:pStyle w:val="ListNumber"/>
      </w:pPr>
      <w:r>
        <w:t>19. Unified Operating System v4.0</w:t>
      </w:r>
    </w:p>
    <w:p>
      <w:pPr>
        <w:pStyle w:val="ListNumber"/>
      </w:pPr>
      <w:r>
        <w:t>20. v4 Implementation Roadmap</w:t>
      </w:r>
    </w:p>
    <w:p>
      <w:pPr>
        <w:pStyle w:val="ListNumber"/>
      </w:pPr>
      <w:r>
        <w:t>21. v4 Governance Charter</w:t>
      </w:r>
    </w:p>
    <w:p>
      <w:pPr>
        <w:pStyle w:val="ListNumber"/>
      </w:pPr>
      <w:r>
        <w:t>22. v4 Canonical Document Index</w:t>
      </w:r>
    </w:p>
    <w:p>
      <w:pPr>
        <w:pStyle w:val="ListNumber"/>
      </w:pPr>
      <w:r>
        <w:t>23. v4 Consolidated Product &amp; Architecture Master Blueprint</w:t>
      </w:r>
    </w:p>
    <w:p>
      <w:pPr>
        <w:pStyle w:val="Heading1"/>
      </w:pPr>
      <w:r>
        <w:t>Consolidation Rule</w:t>
      </w:r>
    </w:p>
    <w:p>
      <w:r>
        <w:t>This blueprint is the canonical product and architecture direction. The domain-level documents remain implementation references and historical detail. Where a domain document conflicts with this v4.0 blueprint, the v4.0 governance and system-boundary rules prevail until an explicit architecture decision supersedes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