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FIELDFORCE v4.0</w:t>
        <w:br/>
        <w:t>P0.10 PRODUCTION RELIABILITY &amp; OPERATIONS</w:t>
      </w:r>
    </w:p>
    <w:p>
      <w:pPr>
        <w:jc w:val="center"/>
      </w:pPr>
      <w:r>
        <w:rPr>
          <w:i/>
        </w:rPr>
        <w:t>Durable outbox, queues, observability, health and recovery</w:t>
      </w:r>
    </w:p>
    <w:p>
      <w:pPr>
        <w:pStyle w:val="Heading1"/>
      </w:pPr>
      <w:r>
        <w:t>Objective</w:t>
      </w:r>
    </w:p>
    <w:p>
      <w:r>
        <w:t>Close the P0 architecture with reliable asynchronous processing, transactional event publication, idempotent consumers and production-grade operational controls.</w:t>
      </w:r>
    </w:p>
    <w:p>
      <w:pPr>
        <w:pStyle w:val="Heading1"/>
      </w:pPr>
      <w:r>
        <w:t>Built</w:t>
      </w:r>
    </w:p>
    <w:p>
      <w:pPr>
        <w:pStyle w:val="ListBullet"/>
      </w:pPr>
      <w:r>
        <w:t>Transactional outbox contract.</w:t>
      </w:r>
    </w:p>
    <w:p>
      <w:pPr>
        <w:pStyle w:val="ListBullet"/>
      </w:pPr>
      <w:r>
        <w:t>Durable queue processing model.</w:t>
      </w:r>
    </w:p>
    <w:p>
      <w:pPr>
        <w:pStyle w:val="ListBullet"/>
      </w:pPr>
      <w:r>
        <w:t>Retry/backoff policy.</w:t>
      </w:r>
    </w:p>
    <w:p>
      <w:pPr>
        <w:pStyle w:val="ListBullet"/>
      </w:pPr>
      <w:r>
        <w:t>Dead-letter/replay model.</w:t>
      </w:r>
    </w:p>
    <w:p>
      <w:pPr>
        <w:pStyle w:val="ListBullet"/>
      </w:pPr>
      <w:r>
        <w:t>Idempotent consumer foundation.</w:t>
      </w:r>
    </w:p>
    <w:p>
      <w:pPr>
        <w:pStyle w:val="ListBullet"/>
      </w:pPr>
      <w:r>
        <w:t>Health/readiness model.</w:t>
      </w:r>
    </w:p>
    <w:p>
      <w:pPr>
        <w:pStyle w:val="ListBullet"/>
      </w:pPr>
      <w:r>
        <w:t>Circuit-breaker foundation.</w:t>
      </w:r>
    </w:p>
    <w:p>
      <w:pPr>
        <w:pStyle w:val="ListBullet"/>
      </w:pPr>
      <w:r>
        <w:t>Request/correlation ID helper.</w:t>
      </w:r>
    </w:p>
    <w:p>
      <w:pPr>
        <w:pStyle w:val="ListBullet"/>
      </w:pPr>
      <w:r>
        <w:t>Metrics/SLO primitives.</w:t>
      </w:r>
    </w:p>
    <w:p>
      <w:pPr>
        <w:pStyle w:val="ListBullet"/>
      </w:pPr>
      <w:r>
        <w:t>Reliability test suite.</w:t>
      </w:r>
    </w:p>
    <w:p>
      <w:pPr>
        <w:pStyle w:val="ListBullet"/>
      </w:pPr>
      <w:r>
        <w:t>Aggregate P0 test command.</w:t>
      </w:r>
    </w:p>
    <w:p>
      <w:pPr>
        <w:pStyle w:val="Heading1"/>
      </w:pPr>
      <w:r>
        <w:t>Transactional outbox</w:t>
      </w:r>
    </w:p>
    <w:p>
      <w:r>
        <w:t>The domain mutation and its outbound event must commit in the same PostgreSQL transaction. A worker then claims and delivers the event. This prevents the failure mode where the business transaction succeeds but its integration event disappears.</w:t>
      </w:r>
    </w:p>
    <w:p>
      <w:pPr>
        <w:pStyle w:val="Heading1"/>
      </w:pPr>
      <w:r>
        <w:t>Worker lifecycle</w:t>
      </w:r>
    </w:p>
    <w:p>
      <w:r>
        <w:t>PENDING → PROCESSING → DELIVERED</w:t>
      </w:r>
    </w:p>
    <w:p>
      <w:r>
        <w:t>Failure: PROCESSING → FAILED → retry with exponential backoff.</w:t>
      </w:r>
    </w:p>
    <w:p>
      <w:r>
        <w:t>Exhausted retries: FAILED → DEAD_LETTER → manual replay/recovery.</w:t>
      </w:r>
    </w:p>
    <w:p>
      <w:pPr>
        <w:pStyle w:val="Heading1"/>
      </w:pPr>
      <w:r>
        <w:t>Idempotency</w:t>
      </w:r>
    </w:p>
    <w:p>
      <w:r>
        <w:t>Consumer identity is source + messageId. A duplicate message must not duplicate a payout, mission transition, evidence event or other side effect.</w:t>
      </w:r>
    </w:p>
    <w:p>
      <w:pPr>
        <w:pStyle w:val="Heading1"/>
      </w:pPr>
      <w:r>
        <w:t>Operational health</w:t>
      </w:r>
    </w:p>
    <w:p>
      <w:pPr>
        <w:pStyle w:val="ListBullet"/>
      </w:pPr>
      <w:r>
        <w:t>Liveness: process is running.</w:t>
      </w:r>
    </w:p>
    <w:p>
      <w:pPr>
        <w:pStyle w:val="ListBullet"/>
      </w:pPr>
      <w:r>
        <w:t>Readiness: critical dependencies are available.</w:t>
      </w:r>
    </w:p>
    <w:p>
      <w:pPr>
        <w:pStyle w:val="ListBullet"/>
      </w:pPr>
      <w:r>
        <w:t>Dependency health: PostgreSQL, queues, object storage and external providers.</w:t>
      </w:r>
    </w:p>
    <w:p>
      <w:pPr>
        <w:pStyle w:val="ListBullet"/>
      </w:pPr>
      <w:r>
        <w:t>Degraded state is observable before total failure.</w:t>
      </w:r>
    </w:p>
    <w:p>
      <w:pPr>
        <w:pStyle w:val="Heading1"/>
      </w:pPr>
      <w:r>
        <w:t>Observability minimum</w:t>
      </w:r>
    </w:p>
    <w:p>
      <w:pPr>
        <w:pStyle w:val="ListBullet"/>
      </w:pPr>
      <w:r>
        <w:t>Request/correlation IDs</w:t>
      </w:r>
    </w:p>
    <w:p>
      <w:pPr>
        <w:pStyle w:val="ListBullet"/>
      </w:pPr>
      <w:r>
        <w:t>Request latency and error rate</w:t>
      </w:r>
    </w:p>
    <w:p>
      <w:pPr>
        <w:pStyle w:val="ListBullet"/>
      </w:pPr>
      <w:r>
        <w:t>Queue depth and oldest message age</w:t>
      </w:r>
    </w:p>
    <w:p>
      <w:pPr>
        <w:pStyle w:val="ListBullet"/>
      </w:pPr>
      <w:r>
        <w:t>Retry and dead-letter counts</w:t>
      </w:r>
    </w:p>
    <w:p>
      <w:pPr>
        <w:pStyle w:val="ListBullet"/>
      </w:pPr>
      <w:r>
        <w:t>Webhook delivery success/failure</w:t>
      </w:r>
    </w:p>
    <w:p>
      <w:pPr>
        <w:pStyle w:val="ListBullet"/>
      </w:pPr>
      <w:r>
        <w:t>Database latency</w:t>
      </w:r>
    </w:p>
    <w:p>
      <w:pPr>
        <w:pStyle w:val="ListBullet"/>
      </w:pPr>
      <w:r>
        <w:t>Payout processing latency</w:t>
      </w:r>
    </w:p>
    <w:p>
      <w:pPr>
        <w:pStyle w:val="ListBullet"/>
      </w:pPr>
      <w:r>
        <w:t>Offline-sync conflicts/failures</w:t>
      </w:r>
    </w:p>
    <w:p>
      <w:pPr>
        <w:pStyle w:val="ListBullet"/>
      </w:pPr>
      <w:r>
        <w:t>Evidence storage failures</w:t>
      </w:r>
    </w:p>
    <w:p>
      <w:pPr>
        <w:pStyle w:val="Heading1"/>
      </w:pPr>
      <w:r>
        <w:t>External-provider resilience</w:t>
      </w:r>
    </w:p>
    <w:p>
      <w:r>
        <w:t>Paystack and ASOJU calls require bounded timeouts, retries where safe, circuit breakers and explicit failure states. External outages must not cascade into unrelated FieldForce workflows.</w:t>
      </w:r>
    </w:p>
    <w:p>
      <w:pPr>
        <w:pStyle w:val="Heading1"/>
      </w:pPr>
      <w:r>
        <w:t>Backup and recovery</w:t>
      </w:r>
    </w:p>
    <w:p>
      <w:pPr>
        <w:pStyle w:val="ListBullet"/>
      </w:pPr>
      <w:r>
        <w:t>Automated PostgreSQL backups.</w:t>
      </w:r>
    </w:p>
    <w:p>
      <w:pPr>
        <w:pStyle w:val="ListBullet"/>
      </w:pPr>
      <w:r>
        <w:t>Point-in-time recovery where supported.</w:t>
      </w:r>
    </w:p>
    <w:p>
      <w:pPr>
        <w:pStyle w:val="ListBullet"/>
      </w:pPr>
      <w:r>
        <w:t>Restore drills.</w:t>
      </w:r>
    </w:p>
    <w:p>
      <w:pPr>
        <w:pStyle w:val="ListBullet"/>
      </w:pPr>
      <w:r>
        <w:t>Documented RPO/RTO.</w:t>
      </w:r>
    </w:p>
    <w:p>
      <w:pPr>
        <w:pStyle w:val="ListBullet"/>
      </w:pPr>
      <w:r>
        <w:t>Object-storage retention/replication.</w:t>
      </w:r>
    </w:p>
    <w:p>
      <w:pPr>
        <w:pStyle w:val="ListBullet"/>
      </w:pPr>
      <w:r>
        <w:t>Secret rotation procedure.</w:t>
      </w:r>
    </w:p>
    <w:p>
      <w:pPr>
        <w:pStyle w:val="Heading1"/>
      </w:pPr>
      <w:r>
        <w:t>P0 completion gate</w:t>
      </w:r>
    </w:p>
    <w:p>
      <w:pPr>
        <w:pStyle w:val="ListNumber"/>
      </w:pPr>
      <w:r>
        <w:t>All P0 tests pass.</w:t>
      </w:r>
    </w:p>
    <w:p>
      <w:pPr>
        <w:pStyle w:val="ListNumber"/>
      </w:pPr>
      <w:r>
        <w:t>PostgreSQL migrations are reviewed and applied.</w:t>
      </w:r>
    </w:p>
    <w:p>
      <w:pPr>
        <w:pStyle w:val="ListNumber"/>
      </w:pPr>
      <w:r>
        <w:t>Outbox/idempotency are persisted, not process-memory only.</w:t>
      </w:r>
    </w:p>
    <w:p>
      <w:pPr>
        <w:pStyle w:val="ListNumber"/>
      </w:pPr>
      <w:r>
        <w:t>Critical queues are durable.</w:t>
      </w:r>
    </w:p>
    <w:p>
      <w:pPr>
        <w:pStyle w:val="ListNumber"/>
      </w:pPr>
      <w:r>
        <w:t>Health/readiness endpoints are deployed.</w:t>
      </w:r>
    </w:p>
    <w:p>
      <w:pPr>
        <w:pStyle w:val="ListNumber"/>
      </w:pPr>
      <w:r>
        <w:t>Dashboards and alerts exist.</w:t>
      </w:r>
    </w:p>
    <w:p>
      <w:pPr>
        <w:pStyle w:val="ListNumber"/>
      </w:pPr>
      <w:r>
        <w:t>Backup/restore is tested.</w:t>
      </w:r>
    </w:p>
    <w:p>
      <w:pPr>
        <w:pStyle w:val="ListNumber"/>
      </w:pPr>
      <w:r>
        <w:t>External integrations have failure/retry controls.</w:t>
      </w:r>
    </w:p>
    <w:p>
      <w:pPr>
        <w:pStyle w:val="Heading1"/>
      </w:pPr>
      <w:r>
        <w:t>Validation note</w:t>
      </w:r>
    </w:p>
    <w:p>
      <w:r>
        <w:t>The reliability primitives and aggregate test command are included. Full production readiness still requires persistent PostgreSQL implementations, deployed workers, real queue infrastructure, monitoring/alerting configuration and a successful backup/restore drill.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