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P0.2 AUTHENTICATION, RBAC &amp; BOLA/IDOR HARDENING</w:t>
      </w:r>
    </w:p>
    <w:p>
      <w:pPr>
        <w:jc w:val="center"/>
      </w:pPr>
      <w:r>
        <w:rPr>
          <w:i/>
        </w:rPr>
        <w:t>Security hardening package for the current FieldForce repository</w:t>
      </w:r>
    </w:p>
    <w:p>
      <w:pPr>
        <w:pStyle w:val="Heading1"/>
      </w:pPr>
      <w:r>
        <w:t>Objective</w:t>
      </w:r>
    </w:p>
    <w:p>
      <w:r>
        <w:t>Make identity, role authorization and object-level resource ownership explicit and testable before expanding FieldForce functionality.</w:t>
      </w:r>
    </w:p>
    <w:p>
      <w:pPr>
        <w:pStyle w:val="Heading1"/>
      </w:pPr>
      <w:r>
        <w:t>Built</w:t>
      </w:r>
    </w:p>
    <w:p>
      <w:pPr>
        <w:pStyle w:val="ListBullet"/>
      </w:pPr>
      <w:r>
        <w:t>Canonical principal/permission matrix.</w:t>
      </w:r>
    </w:p>
    <w:p>
      <w:pPr>
        <w:pStyle w:val="ListBullet"/>
      </w:pPr>
      <w:r>
        <w:t>Resource-scope authorization helpers.</w:t>
      </w:r>
    </w:p>
    <w:p>
      <w:pPr>
        <w:pStyle w:val="ListBullet"/>
      </w:pPr>
      <w:r>
        <w:t>Security response headers baseline.</w:t>
      </w:r>
    </w:p>
    <w:p>
      <w:pPr>
        <w:pStyle w:val="ListBullet"/>
      </w:pPr>
      <w:r>
        <w:t>Negative BOLA/IDOR test catalog.</w:t>
      </w:r>
    </w:p>
    <w:p>
      <w:pPr>
        <w:pStyle w:val="ListBullet"/>
      </w:pPr>
      <w:r>
        <w:t>Automated authorization unit-test foundation.</w:t>
      </w:r>
    </w:p>
    <w:p>
      <w:pPr>
        <w:pStyle w:val="ListBullet"/>
      </w:pPr>
      <w:r>
        <w:t>Package security:test and security:check gates.</w:t>
      </w:r>
    </w:p>
    <w:p>
      <w:pPr>
        <w:pStyle w:val="ListBullet"/>
      </w:pPr>
      <w:r>
        <w:t>Partner, Customer, Agent, Operations and Admin access boundaries.</w:t>
      </w:r>
    </w:p>
    <w:p>
      <w:pPr>
        <w:pStyle w:val="ListBullet"/>
      </w:pPr>
      <w:r>
        <w:t>Explicit restrictions on QC approval, payout release, trust controls and customer PII.</w:t>
      </w:r>
    </w:p>
    <w:p>
      <w:pPr>
        <w:pStyle w:val="Heading1"/>
      </w:pPr>
      <w:r>
        <w:t>Required endpoint audit</w:t>
      </w:r>
    </w:p>
    <w:p>
      <w:pPr>
        <w:pStyle w:val="ListBullet"/>
      </w:pPr>
      <w:r>
        <w:t>Authentication middleware</w:t>
      </w:r>
    </w:p>
    <w:p>
      <w:pPr>
        <w:pStyle w:val="ListBullet"/>
      </w:pPr>
      <w:r>
        <w:t>Agent profile/availability</w:t>
      </w:r>
    </w:p>
    <w:p>
      <w:pPr>
        <w:pStyle w:val="ListBullet"/>
      </w:pPr>
      <w:r>
        <w:t>Mission/gig read and mutation</w:t>
      </w:r>
    </w:p>
    <w:p>
      <w:pPr>
        <w:pStyle w:val="ListBullet"/>
      </w:pPr>
      <w:r>
        <w:t>GPS/check-in</w:t>
      </w:r>
    </w:p>
    <w:p>
      <w:pPr>
        <w:pStyle w:val="ListBullet"/>
      </w:pPr>
      <w:r>
        <w:t>Evidence upload/read</w:t>
      </w:r>
    </w:p>
    <w:p>
      <w:pPr>
        <w:pStyle w:val="ListBullet"/>
      </w:pPr>
      <w:r>
        <w:t>Wallet/earnings</w:t>
      </w:r>
    </w:p>
    <w:p>
      <w:pPr>
        <w:pStyle w:val="ListBullet"/>
      </w:pPr>
      <w:r>
        <w:t>Payouts</w:t>
      </w:r>
    </w:p>
    <w:p>
      <w:pPr>
        <w:pStyle w:val="ListBullet"/>
      </w:pPr>
      <w:r>
        <w:t>Support</w:t>
      </w:r>
    </w:p>
    <w:p>
      <w:pPr>
        <w:pStyle w:val="ListBullet"/>
      </w:pPr>
      <w:r>
        <w:t>Customer requests/cases/quotes/payments</w:t>
      </w:r>
    </w:p>
    <w:p>
      <w:pPr>
        <w:pStyle w:val="ListBullet"/>
      </w:pPr>
      <w:r>
        <w:t>Admin/Operations mission controls</w:t>
      </w:r>
    </w:p>
    <w:p>
      <w:pPr>
        <w:pStyle w:val="ListBullet"/>
      </w:pPr>
      <w:r>
        <w:t>QC/Rework</w:t>
      </w:r>
    </w:p>
    <w:p>
      <w:pPr>
        <w:pStyle w:val="ListBullet"/>
      </w:pPr>
      <w:r>
        <w:t>Audit logs</w:t>
      </w:r>
    </w:p>
    <w:p>
      <w:pPr>
        <w:pStyle w:val="ListBullet"/>
      </w:pPr>
      <w:r>
        <w:t>Partner candidate/campaign APIs</w:t>
      </w:r>
    </w:p>
    <w:p>
      <w:pPr>
        <w:pStyle w:val="Heading1"/>
      </w:pPr>
      <w:r>
        <w:t>Production acceptance criteria</w:t>
      </w:r>
    </w:p>
    <w:p>
      <w:pPr>
        <w:pStyle w:val="ListBullet"/>
      </w:pPr>
      <w:r>
        <w:t>Every protected endpoint performs authentication and authorization independently.</w:t>
      </w:r>
    </w:p>
    <w:p>
      <w:pPr>
        <w:pStyle w:val="ListBullet"/>
      </w:pPr>
      <w:r>
        <w:t>No endpoint trusts client-supplied owner IDs.</w:t>
      </w:r>
    </w:p>
    <w:p>
      <w:pPr>
        <w:pStyle w:val="ListBullet"/>
      </w:pPr>
      <w:r>
        <w:t>Foreign resource IDs fail consistently without data leakage.</w:t>
      </w:r>
    </w:p>
    <w:p>
      <w:pPr>
        <w:pStyle w:val="ListBullet"/>
      </w:pPr>
      <w:r>
        <w:t>Role changes take effect on the next authorized request/session policy.</w:t>
      </w:r>
    </w:p>
    <w:p>
      <w:pPr>
        <w:pStyle w:val="ListBullet"/>
      </w:pPr>
      <w:r>
        <w:t>Privileged operations require explicit permission.</w:t>
      </w:r>
    </w:p>
    <w:p>
      <w:pPr>
        <w:pStyle w:val="ListBullet"/>
      </w:pPr>
      <w:r>
        <w:t>Security tests run in CI.</w:t>
      </w:r>
    </w:p>
    <w:p>
      <w:pPr>
        <w:pStyle w:val="ListBullet"/>
      </w:pPr>
      <w:r>
        <w:t>Audit events identify actor, action, resource, timestamp and outcome.</w:t>
      </w:r>
    </w:p>
    <w:p>
      <w:pPr>
        <w:pStyle w:val="ListBullet"/>
      </w:pPr>
      <w:r>
        <w:t>Rate limiting and session revocation are enabled before public launch.</w:t>
      </w:r>
    </w:p>
    <w:p>
      <w:pPr>
        <w:pStyle w:val="Heading1"/>
      </w:pPr>
      <w:r>
        <w:t>Validation note</w:t>
      </w:r>
    </w:p>
    <w:p>
      <w:r>
        <w:t>The repository environment may still require dependency installation before the Vitest security suite can execute. The package therefore provides the test gate and catalog; execution must be performed in the engineering CI environment with dependencies installed.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