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ASOJU FIELDFORCE v4.0</w:t>
        <w:br/>
        <w:t>P0.9 ASOJU ↔ FIELDFORCE INTEGRATION GATEWAY</w:t>
      </w:r>
    </w:p>
    <w:p>
      <w:pPr>
        <w:jc w:val="center"/>
      </w:pPr>
      <w:r>
        <w:rPr>
          <w:i/>
        </w:rPr>
        <w:t>Versioned API, authentication, idempotency and event boundary</w:t>
      </w:r>
    </w:p>
    <w:p>
      <w:pPr>
        <w:pStyle w:val="Heading1"/>
      </w:pPr>
      <w:r>
        <w:t>Objective</w:t>
      </w:r>
    </w:p>
    <w:p>
      <w:r>
        <w:t>Give ASOJU a stable, secure integration contract while keeping FieldForce domain logic authoritative and preventing direct database coupling.</w:t>
      </w:r>
    </w:p>
    <w:p>
      <w:pPr>
        <w:pStyle w:val="Heading1"/>
      </w:pPr>
      <w:r>
        <w:t>Architecture</w:t>
      </w:r>
    </w:p>
    <w:p>
      <w:r>
        <w:t>ASOJU → Integration Gateway → FieldForce Domain Services → PostgreSQL</w:t>
      </w:r>
    </w:p>
    <w:p>
      <w:r>
        <w:t>FieldForce → Outbox/Event Layer → ASOJU / approved subscribers</w:t>
      </w:r>
    </w:p>
    <w:p>
      <w:pPr>
        <w:pStyle w:val="Heading1"/>
      </w:pPr>
      <w:r>
        <w:t>Built</w:t>
      </w:r>
    </w:p>
    <w:p>
      <w:pPr>
        <w:pStyle w:val="ListBullet"/>
      </w:pPr>
      <w:r>
        <w:t>Versioned v1 integration contract.</w:t>
      </w:r>
    </w:p>
    <w:p>
      <w:pPr>
        <w:pStyle w:val="ListBullet"/>
      </w:pPr>
      <w:r>
        <w:t>External mission model and internal mission mapping.</w:t>
      </w:r>
    </w:p>
    <w:p>
      <w:pPr>
        <w:pStyle w:val="ListBullet"/>
      </w:pPr>
      <w:r>
        <w:t>HMAC request signing.</w:t>
      </w:r>
    </w:p>
    <w:p>
      <w:pPr>
        <w:pStyle w:val="ListBullet"/>
      </w:pPr>
      <w:r>
        <w:t>Timestamp freshness validation.</w:t>
      </w:r>
    </w:p>
    <w:p>
      <w:pPr>
        <w:pStyle w:val="ListBullet"/>
      </w:pPr>
      <w:r>
        <w:t>Explicit integration scopes.</w:t>
      </w:r>
    </w:p>
    <w:p>
      <w:pPr>
        <w:pStyle w:val="ListBullet"/>
      </w:pPr>
      <w:r>
        <w:t>Idempotency foundation.</w:t>
      </w:r>
    </w:p>
    <w:p>
      <w:pPr>
        <w:pStyle w:val="ListBullet"/>
      </w:pPr>
      <w:r>
        <w:t>Versioned integration events.</w:t>
      </w:r>
    </w:p>
    <w:p>
      <w:pPr>
        <w:pStyle w:val="ListBullet"/>
      </w:pPr>
      <w:r>
        <w:t>Tenant/client resource scoping.</w:t>
      </w:r>
    </w:p>
    <w:p>
      <w:pPr>
        <w:pStyle w:val="ListBullet"/>
      </w:pPr>
      <w:r>
        <w:t>Webhook delivery/retry contract.</w:t>
      </w:r>
    </w:p>
    <w:p>
      <w:pPr>
        <w:pStyle w:val="ListBullet"/>
      </w:pPr>
      <w:r>
        <w:t>Integration gateway automated tests.</w:t>
      </w:r>
    </w:p>
    <w:p>
      <w:pPr>
        <w:pStyle w:val="Heading1"/>
      </w:pPr>
      <w:r>
        <w:t>Core endpoints</w:t>
      </w:r>
    </w:p>
    <w:p>
      <w:pPr>
        <w:pStyle w:val="ListBullet"/>
      </w:pPr>
      <w:r>
        <w:t>POST /api/v1/integration/missions</w:t>
      </w:r>
    </w:p>
    <w:p>
      <w:pPr>
        <w:pStyle w:val="ListBullet"/>
      </w:pPr>
      <w:r>
        <w:t>GET /api/v1/integration/missions/{externalId}</w:t>
      </w:r>
    </w:p>
    <w:p>
      <w:pPr>
        <w:pStyle w:val="ListBullet"/>
      </w:pPr>
      <w:r>
        <w:t>POST /api/v1/integration/missions/{externalId}/cancel</w:t>
      </w:r>
    </w:p>
    <w:p>
      <w:pPr>
        <w:pStyle w:val="ListBullet"/>
      </w:pPr>
      <w:r>
        <w:t>POST /api/v1/integration/missions/{externalId}/sync</w:t>
      </w:r>
    </w:p>
    <w:p>
      <w:pPr>
        <w:pStyle w:val="ListBullet"/>
      </w:pPr>
      <w:r>
        <w:t>GET /api/v1/integration/missions/{externalId}/events</w:t>
      </w:r>
    </w:p>
    <w:p>
      <w:pPr>
        <w:pStyle w:val="Heading1"/>
      </w:pPr>
      <w:r>
        <w:t>Security</w:t>
      </w:r>
    </w:p>
    <w:p>
      <w:pPr>
        <w:pStyle w:val="ListBullet"/>
      </w:pPr>
      <w:r>
        <w:t>Client ID + timestamp + nonce + HMAC signature.</w:t>
      </w:r>
    </w:p>
    <w:p>
      <w:pPr>
        <w:pStyle w:val="ListBullet"/>
      </w:pPr>
      <w:r>
        <w:t>Explicit scope enforcement.</w:t>
      </w:r>
    </w:p>
    <w:p>
      <w:pPr>
        <w:pStyle w:val="ListBullet"/>
      </w:pPr>
      <w:r>
        <w:t>Replay protection.</w:t>
      </w:r>
    </w:p>
    <w:p>
      <w:pPr>
        <w:pStyle w:val="ListBullet"/>
      </w:pPr>
      <w:r>
        <w:t>Per-client rate limiting.</w:t>
      </w:r>
    </w:p>
    <w:p>
      <w:pPr>
        <w:pStyle w:val="ListBullet"/>
      </w:pPr>
      <w:r>
        <w:t>Tenant/resource isolation.</w:t>
      </w:r>
    </w:p>
    <w:p>
      <w:pPr>
        <w:pStyle w:val="ListBullet"/>
      </w:pPr>
      <w:r>
        <w:t>PII minimization.</w:t>
      </w:r>
    </w:p>
    <w:p>
      <w:pPr>
        <w:pStyle w:val="ListBullet"/>
      </w:pPr>
      <w:r>
        <w:t>No browser exposure of integration secrets.</w:t>
      </w:r>
    </w:p>
    <w:p>
      <w:pPr>
        <w:pStyle w:val="Heading1"/>
      </w:pPr>
      <w:r>
        <w:t>Critical architectural rule</w:t>
      </w:r>
    </w:p>
    <w:p>
      <w:r>
        <w:t>The integration gateway does not create a second mission state machine. It calls the same FieldForce domain services used by Agent, Operations and Admin interfaces.</w:t>
      </w:r>
    </w:p>
    <w:p>
      <w:pPr>
        <w:pStyle w:val="Heading1"/>
      </w:pPr>
      <w:r>
        <w:t>Idempotency</w:t>
      </w:r>
    </w:p>
    <w:p>
      <w:r>
        <w:t>Every write requires an Idempotency-Key. A retry after a timeout must return the original logical result rather than create a second mission, assignment, cancellation or other mutation.</w:t>
      </w:r>
    </w:p>
    <w:p>
      <w:pPr>
        <w:pStyle w:val="Heading1"/>
      </w:pPr>
      <w:r>
        <w:t>Event model</w:t>
      </w:r>
    </w:p>
    <w:p>
      <w:r>
        <w:t>Every integration event carries eventId, type, version, occurredAt, aggregateType, aggregateId, source and payload. Production persistence belongs in the PostgreSQL outbox introduced in P0.10.</w:t>
      </w:r>
    </w:p>
    <w:p>
      <w:pPr>
        <w:pStyle w:val="Heading1"/>
      </w:pPr>
      <w:r>
        <w:t>Production acceptance criteria</w:t>
      </w:r>
    </w:p>
    <w:p>
      <w:pPr>
        <w:pStyle w:val="ListBullet"/>
      </w:pPr>
      <w:r>
        <w:t>ASOJU can create a FieldForce mission through the versioned API.</w:t>
      </w:r>
    </w:p>
    <w:p>
      <w:pPr>
        <w:pStyle w:val="ListBullet"/>
      </w:pPr>
      <w:r>
        <w:t>Duplicate requests are idempotent.</w:t>
      </w:r>
    </w:p>
    <w:p>
      <w:pPr>
        <w:pStyle w:val="ListBullet"/>
      </w:pPr>
      <w:r>
        <w:t>External IDs map uniquely to FieldForce IDs per client.</w:t>
      </w:r>
    </w:p>
    <w:p>
      <w:pPr>
        <w:pStyle w:val="ListBullet"/>
      </w:pPr>
      <w:r>
        <w:t>Unauthorized scopes are rejected.</w:t>
      </w:r>
    </w:p>
    <w:p>
      <w:pPr>
        <w:pStyle w:val="ListBullet"/>
      </w:pPr>
      <w:r>
        <w:t>Stale/replayed requests are rejected.</w:t>
      </w:r>
    </w:p>
    <w:p>
      <w:pPr>
        <w:pStyle w:val="ListBullet"/>
      </w:pPr>
      <w:r>
        <w:t>Mission events can be delivered reliably.</w:t>
      </w:r>
    </w:p>
    <w:p>
      <w:pPr>
        <w:pStyle w:val="ListBullet"/>
      </w:pPr>
      <w:r>
        <w:t>Integration cannot bypass P0.3 mission state authority.</w:t>
      </w:r>
    </w:p>
    <w:p>
      <w:pPr>
        <w:pStyle w:val="ListBullet"/>
      </w:pPr>
      <w:r>
        <w:t>Integration actions are auditable.</w:t>
      </w:r>
    </w:p>
    <w:p>
      <w:pPr>
        <w:pStyle w:val="Heading1"/>
      </w:pPr>
      <w:r>
        <w:t>Validation note</w:t>
      </w:r>
    </w:p>
    <w:p>
      <w:r>
        <w:t>The integration test suite is included but requires repository dependencies/Vitest to execute in CI. Persistent idempotency, nonce replay storage and webhook outbox delivery are finalized in P0.10.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