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ASOJU FieldForce</w:t>
        <w:br/>
        <w:t>Product Blueprint v2.0</w:t>
      </w:r>
    </w:p>
    <w:p>
      <w:pPr>
        <w:jc w:val="center"/>
      </w:pPr>
      <w:r>
        <w:rPr>
          <w:b/>
        </w:rPr>
        <w:t>Independent Field-Execution Network with ASOJU as Anchor Customer</w:t>
      </w:r>
    </w:p>
    <w:p>
      <w:pPr>
        <w:pStyle w:val="Heading1"/>
      </w:pPr>
      <w:r>
        <w:t>1. Executive Summary</w:t>
      </w:r>
    </w:p>
    <w:p>
      <w:r>
        <w:t>FieldForce is an independent company and platform that builds and operates a verified field workforce across Nigeria. ASOJU is its first major anchor customer and strategic integration partner.</w:t>
      </w:r>
    </w:p>
    <w:p>
      <w:r>
        <w:t>The objective is to maintain a ready pool of experienced agents that can execute ASOJU missions immediately while allowing the same network to serve other organizations.</w:t>
      </w:r>
    </w:p>
    <w:p>
      <w:r>
        <w:t>This model gives ASOJU workforce capacity without requiring ASOJU to recruit, train, retain, and manage a nationwide field team.</w:t>
      </w:r>
    </w:p>
    <w:p>
      <w:pPr>
        <w:pStyle w:val="Heading1"/>
      </w:pPr>
      <w:r>
        <w:t>2. Business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Participant</w:t>
            </w:r>
          </w:p>
        </w:tc>
        <w:tc>
          <w:tcPr>
            <w:tcW w:type="dxa" w:w="5112"/>
          </w:tcPr>
          <w:p>
            <w:r>
              <w:t>Role</w:t>
            </w:r>
          </w:p>
        </w:tc>
      </w:tr>
      <w:tr>
        <w:tc>
          <w:tcPr>
            <w:tcW w:type="dxa" w:w="5112"/>
          </w:tcPr>
          <w:p>
            <w:r>
              <w:t>FieldForce</w:t>
            </w:r>
          </w:p>
        </w:tc>
        <w:tc>
          <w:tcPr>
            <w:tcW w:type="dxa" w:w="5112"/>
          </w:tcPr>
          <w:p>
            <w:r>
              <w:t>Owns workforce network, operations, service delivery, quality, agent experience, client service, and payouts</w:t>
            </w:r>
          </w:p>
        </w:tc>
      </w:tr>
      <w:tr>
        <w:tc>
          <w:tcPr>
            <w:tcW w:type="dxa" w:w="5112"/>
          </w:tcPr>
          <w:p>
            <w:r>
              <w:t>ASOJU</w:t>
            </w:r>
          </w:p>
        </w:tc>
        <w:tc>
          <w:tcPr>
            <w:tcW w:type="dxa" w:w="5112"/>
          </w:tcPr>
          <w:p>
            <w:r>
              <w:t>Anchor customer consuming FieldForce capacity through integration</w:t>
            </w:r>
          </w:p>
        </w:tc>
      </w:tr>
      <w:tr>
        <w:tc>
          <w:tcPr>
            <w:tcW w:type="dxa" w:w="5112"/>
          </w:tcPr>
          <w:p>
            <w:r>
              <w:t>Other clients</w:t>
            </w:r>
          </w:p>
        </w:tc>
        <w:tc>
          <w:tcPr>
            <w:tcW w:type="dxa" w:w="5112"/>
          </w:tcPr>
          <w:p>
            <w:r>
              <w:t>Purchase field services through FieldForce</w:t>
            </w:r>
          </w:p>
        </w:tc>
      </w:tr>
      <w:tr>
        <w:tc>
          <w:tcPr>
            <w:tcW w:type="dxa" w:w="5112"/>
          </w:tcPr>
          <w:p>
            <w:r>
              <w:t>Agents</w:t>
            </w:r>
          </w:p>
        </w:tc>
        <w:tc>
          <w:tcPr>
            <w:tcW w:type="dxa" w:w="5112"/>
          </w:tcPr>
          <w:p>
            <w:r>
              <w:t>Independent/contracted field operators working through the FieldForce network</w:t>
            </w:r>
          </w:p>
        </w:tc>
      </w:tr>
    </w:tbl>
    <w:p>
      <w:r>
        <w:t>The key strategic asset is the FieldForce network itself.</w:t>
      </w:r>
    </w:p>
    <w:p>
      <w:pPr>
        <w:pStyle w:val="Heading1"/>
      </w:pPr>
      <w:r>
        <w:t>3. Core Flywheel</w:t>
      </w:r>
    </w:p>
    <w:p>
      <w:r>
        <w:t>Recruit → Verify → Train → Certify → Deploy → Gain experience → Measure → Improve → Retain → Serve more clients → Generate more missions → Build a stronger workforce.</w:t>
      </w:r>
    </w:p>
    <w:p>
      <w:r>
        <w:t>ASOJU benefits from the flywheel without having to own every workforce function.</w:t>
      </w:r>
    </w:p>
    <w:p>
      <w:pPr>
        <w:pStyle w:val="Heading1"/>
      </w:pPr>
      <w:r>
        <w:t>4. Product Ecosystem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Product surface</w:t>
            </w:r>
          </w:p>
        </w:tc>
        <w:tc>
          <w:tcPr>
            <w:tcW w:type="dxa" w:w="3408"/>
          </w:tcPr>
          <w:p>
            <w:r>
              <w:t>Primary users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Agent App/PWA</w:t>
            </w:r>
          </w:p>
        </w:tc>
        <w:tc>
          <w:tcPr>
            <w:tcW w:type="dxa" w:w="3408"/>
          </w:tcPr>
          <w:p>
            <w:r>
              <w:t>Agents</w:t>
            </w:r>
          </w:p>
        </w:tc>
        <w:tc>
          <w:tcPr>
            <w:tcW w:type="dxa" w:w="3408"/>
          </w:tcPr>
          <w:p>
            <w:r>
              <w:t>Find and execute missions</w:t>
            </w:r>
          </w:p>
        </w:tc>
      </w:tr>
      <w:tr>
        <w:tc>
          <w:tcPr>
            <w:tcW w:type="dxa" w:w="3408"/>
          </w:tcPr>
          <w:p>
            <w:r>
              <w:t>Operations Console</w:t>
            </w:r>
          </w:p>
        </w:tc>
        <w:tc>
          <w:tcPr>
            <w:tcW w:type="dxa" w:w="3408"/>
          </w:tcPr>
          <w:p>
            <w:r>
              <w:t>FieldForce Operations</w:t>
            </w:r>
          </w:p>
        </w:tc>
        <w:tc>
          <w:tcPr>
            <w:tcW w:type="dxa" w:w="3408"/>
          </w:tcPr>
          <w:p>
            <w:r>
              <w:t>Dispatch and control workforce</w:t>
            </w:r>
          </w:p>
        </w:tc>
      </w:tr>
      <w:tr>
        <w:tc>
          <w:tcPr>
            <w:tcW w:type="dxa" w:w="3408"/>
          </w:tcPr>
          <w:p>
            <w:r>
              <w:t>Client Portal</w:t>
            </w:r>
          </w:p>
        </w:tc>
        <w:tc>
          <w:tcPr>
            <w:tcW w:type="dxa" w:w="3408"/>
          </w:tcPr>
          <w:p>
            <w:r>
              <w:t>Business clients</w:t>
            </w:r>
          </w:p>
        </w:tc>
        <w:tc>
          <w:tcPr>
            <w:tcW w:type="dxa" w:w="3408"/>
          </w:tcPr>
          <w:p>
            <w:r>
              <w:t>Request and track field services</w:t>
            </w:r>
          </w:p>
        </w:tc>
      </w:tr>
      <w:tr>
        <w:tc>
          <w:tcPr>
            <w:tcW w:type="dxa" w:w="3408"/>
          </w:tcPr>
          <w:p>
            <w:r>
              <w:t>Admin Console</w:t>
            </w:r>
          </w:p>
        </w:tc>
        <w:tc>
          <w:tcPr>
            <w:tcW w:type="dxa" w:w="3408"/>
          </w:tcPr>
          <w:p>
            <w:r>
              <w:t>FieldForce Admin</w:t>
            </w:r>
          </w:p>
        </w:tc>
        <w:tc>
          <w:tcPr>
            <w:tcW w:type="dxa" w:w="3408"/>
          </w:tcPr>
          <w:p>
            <w:r>
              <w:t>Configure services, policies, agents, clients</w:t>
            </w:r>
          </w:p>
        </w:tc>
      </w:tr>
      <w:tr>
        <w:tc>
          <w:tcPr>
            <w:tcW w:type="dxa" w:w="3408"/>
          </w:tcPr>
          <w:p>
            <w:r>
              <w:t>Academy</w:t>
            </w:r>
          </w:p>
        </w:tc>
        <w:tc>
          <w:tcPr>
            <w:tcW w:type="dxa" w:w="3408"/>
          </w:tcPr>
          <w:p>
            <w:r>
              <w:t>Agents/Training</w:t>
            </w:r>
          </w:p>
        </w:tc>
        <w:tc>
          <w:tcPr>
            <w:tcW w:type="dxa" w:w="3408"/>
          </w:tcPr>
          <w:p>
            <w:r>
              <w:t>Train and certify workforce</w:t>
            </w:r>
          </w:p>
        </w:tc>
      </w:tr>
      <w:tr>
        <w:tc>
          <w:tcPr>
            <w:tcW w:type="dxa" w:w="3408"/>
          </w:tcPr>
          <w:p>
            <w:r>
              <w:t>Trust Console</w:t>
            </w:r>
          </w:p>
        </w:tc>
        <w:tc>
          <w:tcPr>
            <w:tcW w:type="dxa" w:w="3408"/>
          </w:tcPr>
          <w:p>
            <w:r>
              <w:t>Trust/Operations</w:t>
            </w:r>
          </w:p>
        </w:tc>
        <w:tc>
          <w:tcPr>
            <w:tcW w:type="dxa" w:w="3408"/>
          </w:tcPr>
          <w:p>
            <w:r>
              <w:t>Review anomalies and integrity signals</w:t>
            </w:r>
          </w:p>
        </w:tc>
      </w:tr>
      <w:tr>
        <w:tc>
          <w:tcPr>
            <w:tcW w:type="dxa" w:w="3408"/>
          </w:tcPr>
          <w:p>
            <w:r>
              <w:t>API Platform</w:t>
            </w:r>
          </w:p>
        </w:tc>
        <w:tc>
          <w:tcPr>
            <w:tcW w:type="dxa" w:w="3408"/>
          </w:tcPr>
          <w:p>
            <w:r>
              <w:t>ASOJU/enterprise clients</w:t>
            </w:r>
          </w:p>
        </w:tc>
        <w:tc>
          <w:tcPr>
            <w:tcW w:type="dxa" w:w="3408"/>
          </w:tcPr>
          <w:p>
            <w:r>
              <w:t>Programmatic service requests and results</w:t>
            </w:r>
          </w:p>
        </w:tc>
      </w:tr>
    </w:tbl>
    <w:p>
      <w:pPr>
        <w:pStyle w:val="Heading1"/>
      </w:pPr>
      <w:r>
        <w:t>5. Agent Experience</w:t>
      </w:r>
    </w:p>
    <w:p>
      <w:r>
        <w:t>Agents join once and can execute missions for multiple FieldForce clients.</w:t>
      </w:r>
    </w:p>
    <w:p>
      <w:pPr>
        <w:pStyle w:val="ListBullet"/>
      </w:pPr>
      <w:r>
        <w:t>Single FieldForce identity</w:t>
      </w:r>
    </w:p>
    <w:p>
      <w:pPr>
        <w:pStyle w:val="ListBullet"/>
      </w:pPr>
      <w:r>
        <w:t>Single verification process</w:t>
      </w:r>
    </w:p>
    <w:p>
      <w:pPr>
        <w:pStyle w:val="ListBullet"/>
      </w:pPr>
      <w:r>
        <w:t>Single capability profile</w:t>
      </w:r>
    </w:p>
    <w:p>
      <w:pPr>
        <w:pStyle w:val="ListBullet"/>
      </w:pPr>
      <w:r>
        <w:t>Single reputation history</w:t>
      </w:r>
    </w:p>
    <w:p>
      <w:pPr>
        <w:pStyle w:val="ListBullet"/>
      </w:pPr>
      <w:r>
        <w:t>Single training/certification record</w:t>
      </w:r>
    </w:p>
    <w:p>
      <w:pPr>
        <w:pStyle w:val="ListBullet"/>
      </w:pPr>
      <w:r>
        <w:t>Single wallet/payout account</w:t>
      </w:r>
    </w:p>
    <w:p>
      <w:pPr>
        <w:pStyle w:val="ListBullet"/>
      </w:pPr>
      <w:r>
        <w:t>Client-specific mission access</w:t>
      </w:r>
    </w:p>
    <w:p>
      <w:r>
        <w:t>Agents should experience FieldForce as their professional fieldwork network, not as a temporary gig board.</w:t>
      </w:r>
    </w:p>
    <w:p>
      <w:pPr>
        <w:pStyle w:val="Heading1"/>
      </w:pPr>
      <w:r>
        <w:t>6. Agent Dashboard</w:t>
      </w:r>
    </w:p>
    <w:p>
      <w:pPr>
        <w:pStyle w:val="ListBullet"/>
      </w:pPr>
      <w:r>
        <w:t>Active mission</w:t>
      </w:r>
    </w:p>
    <w:p>
      <w:pPr>
        <w:pStyle w:val="ListBullet"/>
      </w:pPr>
      <w:r>
        <w:t>New opportunities</w:t>
      </w:r>
    </w:p>
    <w:p>
      <w:pPr>
        <w:pStyle w:val="ListBullet"/>
      </w:pPr>
      <w:r>
        <w:t>Upcoming missions</w:t>
      </w:r>
    </w:p>
    <w:p>
      <w:pPr>
        <w:pStyle w:val="ListBullet"/>
      </w:pPr>
      <w:r>
        <w:t>Earnings</w:t>
      </w:r>
    </w:p>
    <w:p>
      <w:pPr>
        <w:pStyle w:val="ListBullet"/>
      </w:pPr>
      <w:r>
        <w:t>Performance</w:t>
      </w:r>
    </w:p>
    <w:p>
      <w:pPr>
        <w:pStyle w:val="ListBullet"/>
      </w:pPr>
      <w:r>
        <w:t>Tier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Sync/device health</w:t>
      </w:r>
    </w:p>
    <w:p>
      <w:pPr>
        <w:pStyle w:val="ListBullet"/>
      </w:pPr>
      <w:r>
        <w:t>Support</w:t>
      </w:r>
    </w:p>
    <w:p>
      <w:pPr>
        <w:pStyle w:val="Heading1"/>
      </w:pPr>
      <w:r>
        <w:t>7. Agent Pool</w:t>
      </w:r>
    </w:p>
    <w:p>
      <w:r>
        <w:t>Operations should maintain a live workforce pool.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Pool segment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Ready Now</w:t>
            </w:r>
          </w:p>
        </w:tc>
        <w:tc>
          <w:tcPr>
            <w:tcW w:type="dxa" w:w="5112"/>
          </w:tcPr>
          <w:p>
            <w:r>
              <w:t>Qualified and available immediately</w:t>
            </w:r>
          </w:p>
        </w:tc>
      </w:tr>
      <w:tr>
        <w:tc>
          <w:tcPr>
            <w:tcW w:type="dxa" w:w="5112"/>
          </w:tcPr>
          <w:p>
            <w:r>
              <w:t>Ready Today</w:t>
            </w:r>
          </w:p>
        </w:tc>
        <w:tc>
          <w:tcPr>
            <w:tcW w:type="dxa" w:w="5112"/>
          </w:tcPr>
          <w:p>
            <w:r>
              <w:t>Available within the day</w:t>
            </w:r>
          </w:p>
        </w:tc>
      </w:tr>
      <w:tr>
        <w:tc>
          <w:tcPr>
            <w:tcW w:type="dxa" w:w="5112"/>
          </w:tcPr>
          <w:p>
            <w:r>
              <w:t>Standby</w:t>
            </w:r>
          </w:p>
        </w:tc>
        <w:tc>
          <w:tcPr>
            <w:tcW w:type="dxa" w:w="5112"/>
          </w:tcPr>
          <w:p>
            <w:r>
              <w:t>Can be activated for priority work</w:t>
            </w:r>
          </w:p>
        </w:tc>
      </w:tr>
      <w:tr>
        <w:tc>
          <w:tcPr>
            <w:tcW w:type="dxa" w:w="5112"/>
          </w:tcPr>
          <w:p>
            <w:r>
              <w:t>Specialist</w:t>
            </w:r>
          </w:p>
        </w:tc>
        <w:tc>
          <w:tcPr>
            <w:tcW w:type="dxa" w:w="5112"/>
          </w:tcPr>
          <w:p>
            <w:r>
              <w:t>Qualified for specialist missions</w:t>
            </w:r>
          </w:p>
        </w:tc>
      </w:tr>
      <w:tr>
        <w:tc>
          <w:tcPr>
            <w:tcW w:type="dxa" w:w="5112"/>
          </w:tcPr>
          <w:p>
            <w:r>
              <w:t>Busy</w:t>
            </w:r>
          </w:p>
        </w:tc>
        <w:tc>
          <w:tcPr>
            <w:tcW w:type="dxa" w:w="5112"/>
          </w:tcPr>
          <w:p>
            <w:r>
              <w:t>Currently executing work</w:t>
            </w:r>
          </w:p>
        </w:tc>
      </w:tr>
      <w:tr>
        <w:tc>
          <w:tcPr>
            <w:tcW w:type="dxa" w:w="5112"/>
          </w:tcPr>
          <w:p>
            <w:r>
              <w:t>Unavailable</w:t>
            </w:r>
          </w:p>
        </w:tc>
        <w:tc>
          <w:tcPr>
            <w:tcW w:type="dxa" w:w="5112"/>
          </w:tcPr>
          <w:p>
            <w:r>
              <w:t>Temporarily unavailable</w:t>
            </w:r>
          </w:p>
        </w:tc>
      </w:tr>
      <w:tr>
        <w:tc>
          <w:tcPr>
            <w:tcW w:type="dxa" w:w="5112"/>
          </w:tcPr>
          <w:p>
            <w:r>
              <w:t>Restricted</w:t>
            </w:r>
          </w:p>
        </w:tc>
        <w:tc>
          <w:tcPr>
            <w:tcW w:type="dxa" w:w="5112"/>
          </w:tcPr>
          <w:p>
            <w:r>
              <w:t>Limited by capability/policy</w:t>
            </w:r>
          </w:p>
        </w:tc>
      </w:tr>
      <w:tr>
        <w:tc>
          <w:tcPr>
            <w:tcW w:type="dxa" w:w="5112"/>
          </w:tcPr>
          <w:p>
            <w:r>
              <w:t>Suspended</w:t>
            </w:r>
          </w:p>
        </w:tc>
        <w:tc>
          <w:tcPr>
            <w:tcW w:type="dxa" w:w="5112"/>
          </w:tcPr>
          <w:p>
            <w:r>
              <w:t>Cannot receive missions</w:t>
            </w:r>
          </w:p>
        </w:tc>
      </w:tr>
    </w:tbl>
    <w:p>
      <w:pPr>
        <w:pStyle w:val="Heading1"/>
      </w:pPr>
      <w:r>
        <w:t>8. Coverage Intelligence</w:t>
      </w:r>
    </w:p>
    <w:p>
      <w:r>
        <w:t>The system should display workforce coverage by State, LGA, city/town, capability, certification, tier, and availability.</w:t>
      </w:r>
    </w:p>
    <w:p>
      <w:r>
        <w:t>A client request should be evaluated against actual capacity before FieldForce commits to an SLA.</w:t>
      </w:r>
    </w:p>
    <w:p>
      <w:pPr>
        <w:pStyle w:val="Heading1"/>
      </w:pPr>
      <w:r>
        <w:t>9. Client Journey</w:t>
      </w:r>
    </w:p>
    <w:p>
      <w:pPr>
        <w:pStyle w:val="ListNumber"/>
      </w:pPr>
      <w:r>
        <w:t>Client registration</w:t>
      </w:r>
    </w:p>
    <w:p>
      <w:pPr>
        <w:pStyle w:val="ListNumber"/>
      </w:pPr>
      <w:r>
        <w:t>Organization verification</w:t>
      </w:r>
    </w:p>
    <w:p>
      <w:pPr>
        <w:pStyle w:val="ListNumber"/>
      </w:pPr>
      <w:r>
        <w:t>Service selection</w:t>
      </w:r>
    </w:p>
    <w:p>
      <w:pPr>
        <w:pStyle w:val="ListNumber"/>
      </w:pPr>
      <w:r>
        <w:t>Request submission</w:t>
      </w:r>
    </w:p>
    <w:p>
      <w:pPr>
        <w:pStyle w:val="ListNumber"/>
      </w:pPr>
      <w:r>
        <w:t>Scope confirmation</w:t>
      </w:r>
    </w:p>
    <w:p>
      <w:pPr>
        <w:pStyle w:val="ListNumber"/>
      </w:pPr>
      <w:r>
        <w:t>Price/SLA confirmation</w:t>
      </w:r>
    </w:p>
    <w:p>
      <w:pPr>
        <w:pStyle w:val="ListNumber"/>
      </w:pPr>
      <w:r>
        <w:t>Mission fulfillment</w:t>
      </w:r>
    </w:p>
    <w:p>
      <w:pPr>
        <w:pStyle w:val="ListNumber"/>
      </w:pPr>
      <w:r>
        <w:t>Evidence/result delivery</w:t>
      </w:r>
    </w:p>
    <w:p>
      <w:pPr>
        <w:pStyle w:val="ListNumber"/>
      </w:pPr>
      <w:r>
        <w:t>Billing</w:t>
      </w:r>
    </w:p>
    <w:p>
      <w:pPr>
        <w:pStyle w:val="ListNumber"/>
      </w:pPr>
      <w:r>
        <w:t>Performance review</w:t>
      </w:r>
    </w:p>
    <w:p>
      <w:pPr>
        <w:pStyle w:val="ListNumber"/>
      </w:pPr>
      <w:r>
        <w:t>Repeat request</w:t>
      </w:r>
    </w:p>
    <w:p>
      <w:r>
        <w:t>ASOJU can bypass parts of this journey through API integration while retaining the same operational model.</w:t>
      </w:r>
    </w:p>
    <w:p>
      <w:pPr>
        <w:pStyle w:val="Heading1"/>
      </w:pPr>
      <w:r>
        <w:t>10. Client Portal</w:t>
      </w:r>
    </w:p>
    <w:p>
      <w:pPr>
        <w:pStyle w:val="ListBullet"/>
      </w:pPr>
      <w:r>
        <w:t>Create request</w:t>
      </w:r>
    </w:p>
    <w:p>
      <w:pPr>
        <w:pStyle w:val="ListBullet"/>
      </w:pPr>
      <w:r>
        <w:t>Track active requests</w:t>
      </w:r>
    </w:p>
    <w:p>
      <w:pPr>
        <w:pStyle w:val="ListBullet"/>
      </w:pPr>
      <w:r>
        <w:t>View mission status</w:t>
      </w:r>
    </w:p>
    <w:p>
      <w:pPr>
        <w:pStyle w:val="ListBullet"/>
      </w:pPr>
      <w:r>
        <w:t>View assigned/completed results</w:t>
      </w:r>
    </w:p>
    <w:p>
      <w:pPr>
        <w:pStyle w:val="ListBullet"/>
      </w:pPr>
      <w:r>
        <w:t>Review evidence</w:t>
      </w:r>
    </w:p>
    <w:p>
      <w:pPr>
        <w:pStyle w:val="ListBullet"/>
      </w:pPr>
      <w:r>
        <w:t>Communicate with Operations</w:t>
      </w:r>
    </w:p>
    <w:p>
      <w:pPr>
        <w:pStyle w:val="ListBullet"/>
      </w:pPr>
      <w:r>
        <w:t>Download reports</w:t>
      </w:r>
    </w:p>
    <w:p>
      <w:pPr>
        <w:pStyle w:val="ListBullet"/>
      </w:pPr>
      <w:r>
        <w:t>View invoices</w:t>
      </w:r>
    </w:p>
    <w:p>
      <w:pPr>
        <w:pStyle w:val="ListBullet"/>
      </w:pPr>
      <w:r>
        <w:t>View SLA/service performance</w:t>
      </w:r>
    </w:p>
    <w:p>
      <w:pPr>
        <w:pStyle w:val="ListBullet"/>
      </w:pPr>
      <w:r>
        <w:t>Manage organization users</w:t>
      </w:r>
    </w:p>
    <w:p>
      <w:pPr>
        <w:pStyle w:val="Heading1"/>
      </w:pPr>
      <w:r>
        <w:t>11. Service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Service category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Property</w:t>
            </w:r>
          </w:p>
        </w:tc>
        <w:tc>
          <w:tcPr>
            <w:tcW w:type="dxa" w:w="5112"/>
          </w:tcPr>
          <w:p>
            <w:r>
              <w:t>Inspection, verification, occupancy/site checks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Retrieval, delivery, verification</w:t>
            </w:r>
          </w:p>
        </w:tc>
      </w:tr>
      <w:tr>
        <w:tc>
          <w:tcPr>
            <w:tcW w:type="dxa" w:w="5112"/>
          </w:tcPr>
          <w:p>
            <w:r>
              <w:t>Business</w:t>
            </w:r>
          </w:p>
        </w:tc>
        <w:tc>
          <w:tcPr>
            <w:tcW w:type="dxa" w:w="5112"/>
          </w:tcPr>
          <w:p>
            <w:r>
              <w:t>Physical business/address verification</w:t>
            </w:r>
          </w:p>
        </w:tc>
      </w:tr>
      <w:tr>
        <w:tc>
          <w:tcPr>
            <w:tcW w:type="dxa" w:w="5112"/>
          </w:tcPr>
          <w:p>
            <w:r>
              <w:t>Assets</w:t>
            </w:r>
          </w:p>
        </w:tc>
        <w:tc>
          <w:tcPr>
            <w:tcW w:type="dxa" w:w="5112"/>
          </w:tcPr>
          <w:p>
            <w:r>
              <w:t>Asset presence/condition verification</w:t>
            </w:r>
          </w:p>
        </w:tc>
      </w:tr>
      <w:tr>
        <w:tc>
          <w:tcPr>
            <w:tcW w:type="dxa" w:w="5112"/>
          </w:tcPr>
          <w:p>
            <w:r>
              <w:t>Government</w:t>
            </w:r>
          </w:p>
        </w:tc>
        <w:tc>
          <w:tcPr>
            <w:tcW w:type="dxa" w:w="5112"/>
          </w:tcPr>
          <w:p>
            <w:r>
              <w:t>Authorized office visits</w:t>
            </w:r>
          </w:p>
        </w:tc>
      </w:tr>
      <w:tr>
        <w:tc>
          <w:tcPr>
            <w:tcW w:type="dxa" w:w="5112"/>
          </w:tcPr>
          <w:p>
            <w:r>
              <w:t>Construction</w:t>
            </w:r>
          </w:p>
        </w:tc>
        <w:tc>
          <w:tcPr>
            <w:tcW w:type="dxa" w:w="5112"/>
          </w:tcPr>
          <w:p>
            <w:r>
              <w:t>Progress/site inspection</w:t>
            </w:r>
          </w:p>
        </w:tc>
      </w:tr>
      <w:tr>
        <w:tc>
          <w:tcPr>
            <w:tcW w:type="dxa" w:w="5112"/>
          </w:tcPr>
          <w:p>
            <w:r>
              <w:t>Inventory</w:t>
            </w:r>
          </w:p>
        </w:tc>
        <w:tc>
          <w:tcPr>
            <w:tcW w:type="dxa" w:w="5112"/>
          </w:tcPr>
          <w:p>
            <w:r>
              <w:t>Stock/physical inventory verification</w:t>
            </w:r>
          </w:p>
        </w:tc>
      </w:tr>
      <w:tr>
        <w:tc>
          <w:tcPr>
            <w:tcW w:type="dxa" w:w="5112"/>
          </w:tcPr>
          <w:p>
            <w:r>
              <w:t>Specialist</w:t>
            </w:r>
          </w:p>
        </w:tc>
        <w:tc>
          <w:tcPr>
            <w:tcW w:type="dxa" w:w="5112"/>
          </w:tcPr>
          <w:p>
            <w:r>
              <w:t>Custom certified fieldwork</w:t>
            </w:r>
          </w:p>
        </w:tc>
      </w:tr>
    </w:tbl>
    <w:p>
      <w:pPr>
        <w:pStyle w:val="Heading1"/>
      </w:pPr>
      <w:r>
        <w:t>12. Request-to-Mission Flow</w:t>
      </w:r>
    </w:p>
    <w:p>
      <w:r>
        <w:t>Client Request → Scope Validation → Pricing/SLA → Workforce Eligibility → Matching → Agent Offer/Assignment → Mission → Evidence → QC → Result → Billing → Agent Settlement</w:t>
      </w:r>
    </w:p>
    <w:p>
      <w:r>
        <w:t>No mission should be accepted into the network without sufficient scope and operational feasibility.</w:t>
      </w:r>
    </w:p>
    <w:p>
      <w:pPr>
        <w:pStyle w:val="Heading1"/>
      </w:pPr>
      <w:r>
        <w:t>13. Mission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REQUESTED</w:t>
            </w:r>
          </w:p>
        </w:tc>
        <w:tc>
          <w:tcPr>
            <w:tcW w:type="dxa" w:w="5112"/>
          </w:tcPr>
          <w:p>
            <w:r>
              <w:t>Client request received</w:t>
            </w:r>
          </w:p>
        </w:tc>
      </w:tr>
      <w:tr>
        <w:tc>
          <w:tcPr>
            <w:tcW w:type="dxa" w:w="5112"/>
          </w:tcPr>
          <w:p>
            <w:r>
              <w:t>PLANNED</w:t>
            </w:r>
          </w:p>
        </w:tc>
        <w:tc>
          <w:tcPr>
            <w:tcW w:type="dxa" w:w="5112"/>
          </w:tcPr>
          <w:p>
            <w:r>
              <w:t>Scope/pricing/SLA validated</w:t>
            </w:r>
          </w:p>
        </w:tc>
      </w:tr>
      <w:tr>
        <w:tc>
          <w:tcPr>
            <w:tcW w:type="dxa" w:w="5112"/>
          </w:tcPr>
          <w:p>
            <w:r>
              <w:t>MATCHED</w:t>
            </w:r>
          </w:p>
        </w:tc>
        <w:tc>
          <w:tcPr>
            <w:tcW w:type="dxa" w:w="5112"/>
          </w:tcPr>
          <w:p>
            <w:r>
              <w:t>Eligible agent identified</w:t>
            </w:r>
          </w:p>
        </w:tc>
      </w:tr>
      <w:tr>
        <w:tc>
          <w:tcPr>
            <w:tcW w:type="dxa" w:w="5112"/>
          </w:tcPr>
          <w:p>
            <w:r>
              <w:t>OFFERED</w:t>
            </w:r>
          </w:p>
        </w:tc>
        <w:tc>
          <w:tcPr>
            <w:tcW w:type="dxa" w:w="5112"/>
          </w:tcPr>
          <w:p>
            <w:r>
              <w:t>Agent can accept</w:t>
            </w:r>
          </w:p>
        </w:tc>
      </w:tr>
      <w:tr>
        <w:tc>
          <w:tcPr>
            <w:tcW w:type="dxa" w:w="5112"/>
          </w:tcPr>
          <w:p>
            <w:r>
              <w:t>ACCEPTED</w:t>
            </w:r>
          </w:p>
        </w:tc>
        <w:tc>
          <w:tcPr>
            <w:tcW w:type="dxa" w:w="5112"/>
          </w:tcPr>
          <w:p>
            <w:r>
              <w:t>Agent committed</w:t>
            </w:r>
          </w:p>
        </w:tc>
      </w:tr>
      <w:tr>
        <w:tc>
          <w:tcPr>
            <w:tcW w:type="dxa" w:w="5112"/>
          </w:tcPr>
          <w:p>
            <w:r>
              <w:t>EN_ROUTE</w:t>
            </w:r>
          </w:p>
        </w:tc>
        <w:tc>
          <w:tcPr>
            <w:tcW w:type="dxa" w:w="5112"/>
          </w:tcPr>
          <w:p>
            <w:r>
              <w:t>Travel started</w:t>
            </w:r>
          </w:p>
        </w:tc>
      </w:tr>
      <w:tr>
        <w:tc>
          <w:tcPr>
            <w:tcW w:type="dxa" w:w="5112"/>
          </w:tcPr>
          <w:p>
            <w:r>
              <w:t>ON_SITE</w:t>
            </w:r>
          </w:p>
        </w:tc>
        <w:tc>
          <w:tcPr>
            <w:tcW w:type="dxa" w:w="5112"/>
          </w:tcPr>
          <w:p>
            <w:r>
              <w:t>Presence verified</w:t>
            </w:r>
          </w:p>
        </w:tc>
      </w:tr>
      <w:tr>
        <w:tc>
          <w:tcPr>
            <w:tcW w:type="dxa" w:w="5112"/>
          </w:tcPr>
          <w:p>
            <w:r>
              <w:t>EXECUTING</w:t>
            </w:r>
          </w:p>
        </w:tc>
        <w:tc>
          <w:tcPr>
            <w:tcW w:type="dxa" w:w="5112"/>
          </w:tcPr>
          <w:p>
            <w:r>
              <w:t>Work underway</w:t>
            </w:r>
          </w:p>
        </w:tc>
      </w:tr>
      <w:tr>
        <w:tc>
          <w:tcPr>
            <w:tcW w:type="dxa" w:w="5112"/>
          </w:tcPr>
          <w:p>
            <w:r>
              <w:t>SUBMITTING</w:t>
            </w:r>
          </w:p>
        </w:tc>
        <w:tc>
          <w:tcPr>
            <w:tcW w:type="dxa" w:w="5112"/>
          </w:tcPr>
          <w:p>
            <w:r>
              <w:t>Evidence being finalized/synced</w:t>
            </w:r>
          </w:p>
        </w:tc>
      </w:tr>
      <w:tr>
        <w:tc>
          <w:tcPr>
            <w:tcW w:type="dxa" w:w="5112"/>
          </w:tcPr>
          <w:p>
            <w:r>
              <w:t>SUBMITTED</w:t>
            </w:r>
          </w:p>
        </w:tc>
        <w:tc>
          <w:tcPr>
            <w:tcW w:type="dxa" w:w="5112"/>
          </w:tcPr>
          <w:p>
            <w:r>
              <w:t>Ready for QC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Under review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Correction required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Accepted result</w:t>
            </w:r>
          </w:p>
        </w:tc>
      </w:tr>
      <w:tr>
        <w:tc>
          <w:tcPr>
            <w:tcW w:type="dxa" w:w="5112"/>
          </w:tcPr>
          <w:p>
            <w:r>
              <w:t>ESCALATED</w:t>
            </w:r>
          </w:p>
        </w:tc>
        <w:tc>
          <w:tcPr>
            <w:tcW w:type="dxa" w:w="5112"/>
          </w:tcPr>
          <w:p>
            <w:r>
              <w:t>Operational intervention required</w:t>
            </w:r>
          </w:p>
        </w:tc>
      </w:tr>
      <w:tr>
        <w:tc>
          <w:tcPr>
            <w:tcW w:type="dxa" w:w="5112"/>
          </w:tcPr>
          <w:p>
            <w:r>
              <w:t>PAUSED</w:t>
            </w:r>
          </w:p>
        </w:tc>
        <w:tc>
          <w:tcPr>
            <w:tcW w:type="dxa" w:w="5112"/>
          </w:tcPr>
          <w:p>
            <w:r>
              <w:t>Temporarily stopped</w:t>
            </w:r>
          </w:p>
        </w:tc>
      </w:tr>
      <w:tr>
        <w:tc>
          <w:tcPr>
            <w:tcW w:type="dxa" w:w="5112"/>
          </w:tcPr>
          <w:p>
            <w:r>
              <w:t>REASSIGNED</w:t>
            </w:r>
          </w:p>
        </w:tc>
        <w:tc>
          <w:tcPr>
            <w:tcW w:type="dxa" w:w="5112"/>
          </w:tcPr>
          <w:p>
            <w:r>
              <w:t>Moved to another agent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Terminated</w:t>
            </w:r>
          </w:p>
        </w:tc>
      </w:tr>
      <w:tr>
        <w:tc>
          <w:tcPr>
            <w:tcW w:type="dxa" w:w="5112"/>
          </w:tcPr>
          <w:p>
            <w:r>
              <w:t>FAILED</w:t>
            </w:r>
          </w:p>
        </w:tc>
        <w:tc>
          <w:tcPr>
            <w:tcW w:type="dxa" w:w="5112"/>
          </w:tcPr>
          <w:p>
            <w:r>
              <w:t>Unable to complete</w:t>
            </w:r>
          </w:p>
        </w:tc>
      </w:tr>
    </w:tbl>
    <w:p>
      <w:pPr>
        <w:pStyle w:val="Heading1"/>
      </w:pPr>
      <w:r>
        <w:t>14. Agent Matching</w:t>
      </w:r>
    </w:p>
    <w:p>
      <w:r>
        <w:t>Stage 1 — eligibility: geography, capability, certification, status, availability, workload, client restrictions, mission risk.</w:t>
      </w:r>
    </w:p>
    <w:p>
      <w:r>
        <w:t>Stage 2 — ranking: proximity, reliability, experience, QC history, response time, workload balance, agent preference.</w:t>
      </w:r>
    </w:p>
    <w:p>
      <w:r>
        <w:t>The matching engine should optimize reliable completion, not simply lowest payout.</w:t>
      </w:r>
    </w:p>
    <w:p>
      <w:pPr>
        <w:pStyle w:val="Heading1"/>
      </w:pPr>
      <w:r>
        <w:t>15. Mission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Economic layer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Client price</w:t>
            </w:r>
          </w:p>
        </w:tc>
        <w:tc>
          <w:tcPr>
            <w:tcW w:type="dxa" w:w="5112"/>
          </w:tcPr>
          <w:p>
            <w:r>
              <w:t>What the client pays FieldForce</w:t>
            </w:r>
          </w:p>
        </w:tc>
      </w:tr>
      <w:tr>
        <w:tc>
          <w:tcPr>
            <w:tcW w:type="dxa" w:w="5112"/>
          </w:tcPr>
          <w:p>
            <w:r>
              <w:t>Agent payout</w:t>
            </w:r>
          </w:p>
        </w:tc>
        <w:tc>
          <w:tcPr>
            <w:tcW w:type="dxa" w:w="5112"/>
          </w:tcPr>
          <w:p>
            <w:r>
              <w:t>What the agent earns</w:t>
            </w:r>
          </w:p>
        </w:tc>
      </w:tr>
      <w:tr>
        <w:tc>
          <w:tcPr>
            <w:tcW w:type="dxa" w:w="5112"/>
          </w:tcPr>
          <w:p>
            <w:r>
              <w:t>Approved expenses</w:t>
            </w:r>
          </w:p>
        </w:tc>
        <w:tc>
          <w:tcPr>
            <w:tcW w:type="dxa" w:w="5112"/>
          </w:tcPr>
          <w:p>
            <w:r>
              <w:t>Reimbursable field costs</w:t>
            </w:r>
          </w:p>
        </w:tc>
      </w:tr>
      <w:tr>
        <w:tc>
          <w:tcPr>
            <w:tcW w:type="dxa" w:w="5112"/>
          </w:tcPr>
          <w:p>
            <w:r>
              <w:t>FieldForce margin</w:t>
            </w:r>
          </w:p>
        </w:tc>
        <w:tc>
          <w:tcPr>
            <w:tcW w:type="dxa" w:w="5112"/>
          </w:tcPr>
          <w:p>
            <w:r>
              <w:t>Commercial contribution</w:t>
            </w:r>
          </w:p>
        </w:tc>
      </w:tr>
      <w:tr>
        <w:tc>
          <w:tcPr>
            <w:tcW w:type="dxa" w:w="5112"/>
          </w:tcPr>
          <w:p>
            <w:r>
              <w:t>Taxes/fees</w:t>
            </w:r>
          </w:p>
        </w:tc>
        <w:tc>
          <w:tcPr>
            <w:tcW w:type="dxa" w:w="5112"/>
          </w:tcPr>
          <w:p>
            <w:r>
              <w:t>Applicable deductions</w:t>
            </w:r>
          </w:p>
        </w:tc>
      </w:tr>
      <w:tr>
        <w:tc>
          <w:tcPr>
            <w:tcW w:type="dxa" w:w="5112"/>
          </w:tcPr>
          <w:p>
            <w:r>
              <w:t>Net agent earnings</w:t>
            </w:r>
          </w:p>
        </w:tc>
        <w:tc>
          <w:tcPr>
            <w:tcW w:type="dxa" w:w="5112"/>
          </w:tcPr>
          <w:p>
            <w:r>
              <w:t>Final agent amount</w:t>
            </w:r>
          </w:p>
        </w:tc>
      </w:tr>
    </w:tbl>
    <w:p>
      <w:r>
        <w:t>The agent should see the terms relevant to accepting the mission. Client pricing and internal margin data should remain appropriately separated.</w:t>
      </w:r>
    </w:p>
    <w:p>
      <w:pPr>
        <w:pStyle w:val="Heading1"/>
      </w:pPr>
      <w:r>
        <w:t>16. Execution Workspace</w:t>
      </w:r>
    </w:p>
    <w:p>
      <w:pPr>
        <w:pStyle w:val="ListBullet"/>
      </w:pPr>
      <w:r>
        <w:t>Mission title/service</w:t>
      </w:r>
    </w:p>
    <w:p>
      <w:pPr>
        <w:pStyle w:val="ListBullet"/>
      </w:pPr>
      <w:r>
        <w:t>Client-safe instructions</w:t>
      </w:r>
    </w:p>
    <w:p>
      <w:pPr>
        <w:pStyle w:val="ListBullet"/>
      </w:pPr>
      <w:r>
        <w:t>SLA countdown</w:t>
      </w:r>
    </w:p>
    <w:p>
      <w:pPr>
        <w:pStyle w:val="ListBullet"/>
      </w:pPr>
      <w:r>
        <w:t>GPS state</w:t>
      </w:r>
    </w:p>
    <w:p>
      <w:pPr>
        <w:pStyle w:val="ListBullet"/>
      </w:pPr>
      <w:r>
        <w:t>Connectivity/sync banner</w:t>
      </w:r>
    </w:p>
    <w:p>
      <w:pPr>
        <w:pStyle w:val="ListBullet"/>
      </w:pPr>
      <w:r>
        <w:t>Checklist progress</w:t>
      </w:r>
    </w:p>
    <w:p>
      <w:pPr>
        <w:pStyle w:val="ListBullet"/>
      </w:pPr>
      <w:r>
        <w:t>Evidence requirements</w:t>
      </w:r>
    </w:p>
    <w:p>
      <w:pPr>
        <w:pStyle w:val="ListBullet"/>
      </w:pPr>
      <w:r>
        <w:t>Camera</w:t>
      </w:r>
    </w:p>
    <w:p>
      <w:pPr>
        <w:pStyle w:val="ListBullet"/>
      </w:pPr>
      <w:r>
        <w:t>Notes</w:t>
      </w:r>
    </w:p>
    <w:p>
      <w:pPr>
        <w:pStyle w:val="ListBullet"/>
      </w:pPr>
      <w:r>
        <w:t>Escalation</w:t>
      </w:r>
    </w:p>
    <w:p>
      <w:pPr>
        <w:pStyle w:val="ListBullet"/>
      </w:pPr>
      <w:r>
        <w:t>Safety</w:t>
      </w:r>
    </w:p>
    <w:p>
      <w:pPr>
        <w:pStyle w:val="ListBullet"/>
      </w:pPr>
      <w:r>
        <w:t>Submit</w:t>
      </w:r>
    </w:p>
    <w:p>
      <w:r>
        <w:t>One-screen clarity is the design target.</w:t>
      </w:r>
    </w:p>
    <w:p>
      <w:pPr>
        <w:pStyle w:val="Heading1"/>
      </w:pPr>
      <w:r>
        <w:t>17. Evidence Package</w:t>
      </w:r>
    </w:p>
    <w:p>
      <w:r>
        <w:t>Every completed mission should produce a structured evidence package rather than an arbitrary collection of files.</w:t>
      </w:r>
    </w:p>
    <w:p>
      <w:pPr>
        <w:pStyle w:val="ListBullet"/>
      </w:pPr>
      <w:r>
        <w:t>Mission metadata</w:t>
      </w:r>
    </w:p>
    <w:p>
      <w:pPr>
        <w:pStyle w:val="ListBullet"/>
      </w:pPr>
      <w:r>
        <w:t>Checklist completion</w:t>
      </w:r>
    </w:p>
    <w:p>
      <w:pPr>
        <w:pStyle w:val="ListBullet"/>
      </w:pPr>
      <w:r>
        <w:t>Photos/videos/documents</w:t>
      </w:r>
    </w:p>
    <w:p>
      <w:pPr>
        <w:pStyle w:val="ListBullet"/>
      </w:pPr>
      <w:r>
        <w:t>GPS/timestamps</w:t>
      </w:r>
    </w:p>
    <w:p>
      <w:pPr>
        <w:pStyle w:val="ListBullet"/>
      </w:pPr>
      <w:r>
        <w:t>Agent/device provenance</w:t>
      </w:r>
    </w:p>
    <w:p>
      <w:pPr>
        <w:pStyle w:val="ListBullet"/>
      </w:pPr>
      <w:r>
        <w:t>Notes</w:t>
      </w:r>
    </w:p>
    <w:p>
      <w:pPr>
        <w:pStyle w:val="ListBullet"/>
      </w:pPr>
      <w:r>
        <w:t>Exceptions</w:t>
      </w:r>
    </w:p>
    <w:p>
      <w:pPr>
        <w:pStyle w:val="ListBullet"/>
      </w:pPr>
      <w:r>
        <w:t>QC outcome</w:t>
      </w:r>
    </w:p>
    <w:p>
      <w:pPr>
        <w:pStyle w:val="ListBullet"/>
      </w:pPr>
      <w:r>
        <w:t>Final result</w:t>
      </w:r>
    </w:p>
    <w:p>
      <w:r>
        <w:t>The package can be tailored to each client and service type.</w:t>
      </w:r>
    </w:p>
    <w:p>
      <w:pPr>
        <w:pStyle w:val="Heading1"/>
      </w:pPr>
      <w:r>
        <w:t>18. Offline Execution</w:t>
      </w:r>
    </w:p>
    <w:p>
      <w:pPr>
        <w:pStyle w:val="ListBullet"/>
      </w:pPr>
      <w:r>
        <w:t>Cache mission instructions</w:t>
      </w:r>
    </w:p>
    <w:p>
      <w:pPr>
        <w:pStyle w:val="ListBullet"/>
      </w:pPr>
      <w:r>
        <w:t>Complete checklist offline</w:t>
      </w:r>
    </w:p>
    <w:p>
      <w:pPr>
        <w:pStyle w:val="ListBullet"/>
      </w:pPr>
      <w:r>
        <w:t>Capture evidence offline</w:t>
      </w:r>
    </w:p>
    <w:p>
      <w:pPr>
        <w:pStyle w:val="ListBullet"/>
      </w:pPr>
      <w:r>
        <w:t>Queue uploads</w:t>
      </w:r>
    </w:p>
    <w:p>
      <w:pPr>
        <w:pStyle w:val="ListBullet"/>
      </w:pPr>
      <w:r>
        <w:t>Queue mission events</w:t>
      </w:r>
    </w:p>
    <w:p>
      <w:pPr>
        <w:pStyle w:val="ListBullet"/>
      </w:pPr>
      <w:r>
        <w:t>Resume interrupted uploads</w:t>
      </w:r>
    </w:p>
    <w:p>
      <w:pPr>
        <w:pStyle w:val="ListBullet"/>
      </w:pPr>
      <w:r>
        <w:t>Automatic synchronization</w:t>
      </w:r>
    </w:p>
    <w:p>
      <w:pPr>
        <w:pStyle w:val="ListBullet"/>
      </w:pPr>
      <w:r>
        <w:t>Idempotency</w:t>
      </w:r>
    </w:p>
    <w:p>
      <w:pPr>
        <w:pStyle w:val="ListBullet"/>
      </w:pPr>
      <w:r>
        <w:t>Conflict handling</w:t>
      </w:r>
    </w:p>
    <w:p>
      <w:pPr>
        <w:pStyle w:val="ListBullet"/>
      </w:pPr>
      <w:r>
        <w:t>Visible queue/sync status</w:t>
      </w:r>
    </w:p>
    <w:p>
      <w:pPr>
        <w:pStyle w:val="Heading1"/>
      </w:pPr>
      <w:r>
        <w:t>19. GPS Verification</w:t>
      </w:r>
    </w:p>
    <w:p>
      <w:r>
        <w:t>For location-dependent work, GPS verification is a required part of mission completion.</w:t>
      </w:r>
    </w:p>
    <w:p>
      <w:pPr>
        <w:pStyle w:val="ListBullet"/>
      </w:pPr>
      <w:r>
        <w:t>Accuracy threshold</w:t>
      </w:r>
    </w:p>
    <w:p>
      <w:pPr>
        <w:pStyle w:val="ListBullet"/>
      </w:pPr>
      <w:r>
        <w:t>Configurable geofence</w:t>
      </w:r>
    </w:p>
    <w:p>
      <w:pPr>
        <w:pStyle w:val="ListBullet"/>
      </w:pPr>
      <w:r>
        <w:t>Check-in attempts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Timestamp</w:t>
      </w:r>
    </w:p>
    <w:p>
      <w:pPr>
        <w:pStyle w:val="ListBullet"/>
      </w:pPr>
      <w:r>
        <w:t>Coordinates</w:t>
      </w:r>
    </w:p>
    <w:p>
      <w:pPr>
        <w:pStyle w:val="ListBullet"/>
      </w:pPr>
      <w:r>
        <w:t>Exception workflow</w:t>
      </w:r>
    </w:p>
    <w:p>
      <w:r>
        <w:t>Default 100 m tolerance may apply to standard property missions but must remain configurable.</w:t>
      </w:r>
    </w:p>
    <w:p>
      <w:pPr>
        <w:pStyle w:val="Heading1"/>
      </w:pPr>
      <w:r>
        <w:t>20. Safety</w:t>
      </w:r>
    </w:p>
    <w:p>
      <w:pPr>
        <w:pStyle w:val="ListBullet"/>
      </w:pPr>
      <w:r>
        <w:t>Safety briefing</w:t>
      </w:r>
    </w:p>
    <w:p>
      <w:pPr>
        <w:pStyle w:val="ListBullet"/>
      </w:pPr>
      <w:r>
        <w:t>Unsafe-location button</w:t>
      </w:r>
    </w:p>
    <w:p>
      <w:pPr>
        <w:pStyle w:val="ListBullet"/>
      </w:pPr>
      <w:r>
        <w:t>Mission pause</w:t>
      </w:r>
    </w:p>
    <w:p>
      <w:pPr>
        <w:pStyle w:val="ListBullet"/>
      </w:pPr>
      <w:r>
        <w:t>Operations alert</w:t>
      </w:r>
    </w:p>
    <w:p>
      <w:pPr>
        <w:pStyle w:val="ListBullet"/>
      </w:pPr>
      <w:r>
        <w:t>Incident report</w:t>
      </w:r>
    </w:p>
    <w:p>
      <w:pPr>
        <w:pStyle w:val="ListBullet"/>
      </w:pPr>
      <w:r>
        <w:t>Emergency escalation</w:t>
      </w:r>
    </w:p>
    <w:p>
      <w:pPr>
        <w:pStyle w:val="ListBullet"/>
      </w:pPr>
      <w:r>
        <w:t>Post-incident review</w:t>
      </w:r>
    </w:p>
    <w:p>
      <w:r>
        <w:t>Safety events should affect operations workflows and, where appropriate, agent support—not simply reputation penalties.</w:t>
      </w:r>
    </w:p>
    <w:p>
      <w:pPr>
        <w:pStyle w:val="Heading1"/>
      </w:pPr>
      <w:r>
        <w:t>21.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Blocker</w:t>
            </w:r>
          </w:p>
        </w:tc>
        <w:tc>
          <w:tcPr>
            <w:tcW w:type="dxa" w:w="5112"/>
          </w:tcPr>
          <w:p>
            <w:r>
              <w:t>System behavior</w:t>
            </w:r>
          </w:p>
        </w:tc>
      </w:tr>
      <w:tr>
        <w:tc>
          <w:tcPr>
            <w:tcW w:type="dxa" w:w="5112"/>
          </w:tcPr>
          <w:p>
            <w:r>
              <w:t>Wrong location</w:t>
            </w:r>
          </w:p>
        </w:tc>
        <w:tc>
          <w:tcPr>
            <w:tcW w:type="dxa" w:w="5112"/>
          </w:tcPr>
          <w:p>
            <w:r>
              <w:t>Pause/verify</w:t>
            </w:r>
          </w:p>
        </w:tc>
      </w:tr>
      <w:tr>
        <w:tc>
          <w:tcPr>
            <w:tcW w:type="dxa" w:w="5112"/>
          </w:tcPr>
          <w:p>
            <w:r>
              <w:t>Beneficiary unavailable</w:t>
            </w:r>
          </w:p>
        </w:tc>
        <w:tc>
          <w:tcPr>
            <w:tcW w:type="dxa" w:w="5112"/>
          </w:tcPr>
          <w:p>
            <w:r>
              <w:t>Contact/escalate</w:t>
            </w:r>
          </w:p>
        </w:tc>
      </w:tr>
      <w:tr>
        <w:tc>
          <w:tcPr>
            <w:tcW w:type="dxa" w:w="5112"/>
          </w:tcPr>
          <w:p>
            <w:r>
              <w:t>Unsafe environment</w:t>
            </w:r>
          </w:p>
        </w:tc>
        <w:tc>
          <w:tcPr>
            <w:tcW w:type="dxa" w:w="5112"/>
          </w:tcPr>
          <w:p>
            <w:r>
              <w:t>Immediate safety escalation</w:t>
            </w:r>
          </w:p>
        </w:tc>
      </w:tr>
      <w:tr>
        <w:tc>
          <w:tcPr>
            <w:tcW w:type="dxa" w:w="5112"/>
          </w:tcPr>
          <w:p>
            <w:r>
              <w:t>Scope mismatch</w:t>
            </w:r>
          </w:p>
        </w:tc>
        <w:tc>
          <w:tcPr>
            <w:tcW w:type="dxa" w:w="5112"/>
          </w:tcPr>
          <w:p>
            <w:r>
              <w:t>Request authorization</w:t>
            </w:r>
          </w:p>
        </w:tc>
      </w:tr>
      <w:tr>
        <w:tc>
          <w:tcPr>
            <w:tcW w:type="dxa" w:w="5112"/>
          </w:tcPr>
          <w:p>
            <w:r>
              <w:t>Missing document</w:t>
            </w:r>
          </w:p>
        </w:tc>
        <w:tc>
          <w:tcPr>
            <w:tcW w:type="dxa" w:w="5112"/>
          </w:tcPr>
          <w:p>
            <w:r>
              <w:t>Escalate</w:t>
            </w:r>
          </w:p>
        </w:tc>
      </w:tr>
      <w:tr>
        <w:tc>
          <w:tcPr>
            <w:tcW w:type="dxa" w:w="5112"/>
          </w:tcPr>
          <w:p>
            <w:r>
              <w:t>GPS failure</w:t>
            </w:r>
          </w:p>
        </w:tc>
        <w:tc>
          <w:tcPr>
            <w:tcW w:type="dxa" w:w="5112"/>
          </w:tcPr>
          <w:p>
            <w:r>
              <w:t>Controlled exception</w:t>
            </w:r>
          </w:p>
        </w:tc>
      </w:tr>
      <w:tr>
        <w:tc>
          <w:tcPr>
            <w:tcW w:type="dxa" w:w="5112"/>
          </w:tcPr>
          <w:p>
            <w:r>
              <w:t>Technical failure</w:t>
            </w:r>
          </w:p>
        </w:tc>
        <w:tc>
          <w:tcPr>
            <w:tcW w:type="dxa" w:w="5112"/>
          </w:tcPr>
          <w:p>
            <w:r>
              <w:t>Support workflow</w:t>
            </w:r>
          </w:p>
        </w:tc>
      </w:tr>
      <w:tr>
        <w:tc>
          <w:tcPr>
            <w:tcW w:type="dxa" w:w="5112"/>
          </w:tcPr>
          <w:p>
            <w:r>
              <w:t>Additional work requested</w:t>
            </w:r>
          </w:p>
        </w:tc>
        <w:tc>
          <w:tcPr>
            <w:tcW w:type="dxa" w:w="5112"/>
          </w:tcPr>
          <w:p>
            <w:r>
              <w:t>Do not perform without authorization</w:t>
            </w:r>
          </w:p>
        </w:tc>
      </w:tr>
    </w:tbl>
    <w:p>
      <w:pPr>
        <w:pStyle w:val="Heading1"/>
      </w:pPr>
      <w:r>
        <w:t>22. Quality Control</w:t>
      </w:r>
    </w:p>
    <w:p>
      <w:r>
        <w:t>FieldForce needs a standard QC framework with service-specific rules.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Scope compliance</w:t>
      </w:r>
    </w:p>
    <w:p>
      <w:pPr>
        <w:pStyle w:val="ListBullet"/>
      </w:pPr>
      <w:r>
        <w:t>Evidence quality</w:t>
      </w:r>
    </w:p>
    <w:p>
      <w:pPr>
        <w:pStyle w:val="ListBullet"/>
      </w:pPr>
      <w:r>
        <w:t>Location validity</w:t>
      </w:r>
    </w:p>
    <w:p>
      <w:pPr>
        <w:pStyle w:val="ListBullet"/>
      </w:pPr>
      <w:r>
        <w:t>SLA compliance</w:t>
      </w:r>
    </w:p>
    <w:p>
      <w:pPr>
        <w:pStyle w:val="ListBullet"/>
      </w:pPr>
      <w:r>
        <w:t>Client requirements</w:t>
      </w:r>
    </w:p>
    <w:p>
      <w:pPr>
        <w:pStyle w:val="ListBullet"/>
      </w:pPr>
      <w:r>
        <w:t>Rework rules</w:t>
      </w:r>
    </w:p>
    <w:p>
      <w:pPr>
        <w:pStyle w:val="ListBullet"/>
      </w:pPr>
      <w:r>
        <w:t>Approval/rejection reasons</w:t>
      </w:r>
    </w:p>
    <w:p>
      <w:r>
        <w:t>ASOJU-specific QC can integrate with ASOJU Core where ASOJU remains the authoritative customer outcome/QC system.</w:t>
      </w:r>
    </w:p>
    <w:p>
      <w:pPr>
        <w:pStyle w:val="Heading1"/>
      </w:pPr>
      <w:r>
        <w:t>23. Rework</w:t>
      </w:r>
    </w:p>
    <w:p>
      <w:r>
        <w:t>Rework should identify the failed requirement, whether remote correction is possible, whether another site visit is required, the deadline, and who pays for any additional approved work.</w:t>
      </w:r>
    </w:p>
    <w:p>
      <w:pPr>
        <w:pStyle w:val="Heading1"/>
      </w:pPr>
      <w:r>
        <w:t>24. Reputation &amp;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Tier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Starter</w:t>
            </w:r>
          </w:p>
        </w:tc>
        <w:tc>
          <w:tcPr>
            <w:tcW w:type="dxa" w:w="5112"/>
          </w:tcPr>
          <w:p>
            <w:r>
              <w:t>Newly verified operator</w:t>
            </w:r>
          </w:p>
        </w:tc>
      </w:tr>
      <w:tr>
        <w:tc>
          <w:tcPr>
            <w:tcW w:type="dxa" w:w="5112"/>
          </w:tcPr>
          <w:p>
            <w:r>
              <w:t>Verified</w:t>
            </w:r>
          </w:p>
        </w:tc>
        <w:tc>
          <w:tcPr>
            <w:tcW w:type="dxa" w:w="5112"/>
          </w:tcPr>
          <w:p>
            <w:r>
              <w:t>Reliable standard operator</w:t>
            </w:r>
          </w:p>
        </w:tc>
      </w:tr>
      <w:tr>
        <w:tc>
          <w:tcPr>
            <w:tcW w:type="dxa" w:w="5112"/>
          </w:tcPr>
          <w:p>
            <w:r>
              <w:t>Pro</w:t>
            </w:r>
          </w:p>
        </w:tc>
        <w:tc>
          <w:tcPr>
            <w:tcW w:type="dxa" w:w="5112"/>
          </w:tcPr>
          <w:p>
            <w:r>
              <w:t>Experienced/certified operator</w:t>
            </w:r>
          </w:p>
        </w:tc>
      </w:tr>
      <w:tr>
        <w:tc>
          <w:tcPr>
            <w:tcW w:type="dxa" w:w="5112"/>
          </w:tcPr>
          <w:p>
            <w:r>
              <w:t>Elite</w:t>
            </w:r>
          </w:p>
        </w:tc>
        <w:tc>
          <w:tcPr>
            <w:tcW w:type="dxa" w:w="5112"/>
          </w:tcPr>
          <w:p>
            <w:r>
              <w:t>Highly trusted specialist</w:t>
            </w:r>
          </w:p>
        </w:tc>
      </w:tr>
    </w:tbl>
    <w:p>
      <w:r>
        <w:t>Reputation dimensions include reliability, timeliness, evidence quality, QC, safety, responsiveness, and mission-type experience.</w:t>
      </w:r>
    </w:p>
    <w:p>
      <w:pPr>
        <w:pStyle w:val="Heading1"/>
      </w:pPr>
      <w:r>
        <w:t>25. Academy &amp; Certifications</w:t>
      </w:r>
    </w:p>
    <w:p>
      <w:pPr>
        <w:pStyle w:val="ListBullet"/>
      </w:pPr>
      <w:r>
        <w:t>Onboarding</w:t>
      </w:r>
    </w:p>
    <w:p>
      <w:pPr>
        <w:pStyle w:val="ListBullet"/>
      </w:pPr>
      <w:r>
        <w:t>Core field standards</w:t>
      </w:r>
    </w:p>
    <w:p>
      <w:pPr>
        <w:pStyle w:val="ListBullet"/>
      </w:pPr>
      <w:r>
        <w:t>Evidence</w:t>
      </w:r>
    </w:p>
    <w:p>
      <w:pPr>
        <w:pStyle w:val="ListBullet"/>
      </w:pPr>
      <w:r>
        <w:t>GPS</w:t>
      </w:r>
    </w:p>
    <w:p>
      <w:pPr>
        <w:pStyle w:val="ListBullet"/>
      </w:pPr>
      <w:r>
        <w:t>Safety</w:t>
      </w:r>
    </w:p>
    <w:p>
      <w:pPr>
        <w:pStyle w:val="ListBullet"/>
      </w:pPr>
      <w:r>
        <w:t>Privacy</w:t>
      </w:r>
    </w:p>
    <w:p>
      <w:pPr>
        <w:pStyle w:val="ListBullet"/>
      </w:pPr>
      <w:r>
        <w:t>Client interaction</w:t>
      </w:r>
    </w:p>
    <w:p>
      <w:pPr>
        <w:pStyle w:val="ListBullet"/>
      </w:pPr>
      <w:r>
        <w:t>Fraud awareness</w:t>
      </w:r>
    </w:p>
    <w:p>
      <w:pPr>
        <w:pStyle w:val="ListBullet"/>
      </w:pPr>
      <w:r>
        <w:t>Service-specific certifications</w:t>
      </w:r>
    </w:p>
    <w:p>
      <w:pPr>
        <w:pStyle w:val="ListBullet"/>
      </w:pPr>
      <w:r>
        <w:t>Refresher training</w:t>
      </w:r>
    </w:p>
    <w:p>
      <w:r>
        <w:t>Certification should be a real operational control, not just a profile badge.</w:t>
      </w:r>
    </w:p>
    <w:p>
      <w:pPr>
        <w:pStyle w:val="Heading1"/>
      </w:pPr>
      <w:r>
        <w:t>26. Operations Command Center</w:t>
      </w:r>
    </w:p>
    <w:p>
      <w:pPr>
        <w:pStyle w:val="ListBullet"/>
      </w:pPr>
      <w:r>
        <w:t>Client request queue</w:t>
      </w:r>
    </w:p>
    <w:p>
      <w:pPr>
        <w:pStyle w:val="ListBullet"/>
      </w:pPr>
      <w:r>
        <w:t>Mission board</w:t>
      </w:r>
    </w:p>
    <w:p>
      <w:pPr>
        <w:pStyle w:val="ListBullet"/>
      </w:pPr>
      <w:r>
        <w:t>Live mission map</w:t>
      </w:r>
    </w:p>
    <w:p>
      <w:pPr>
        <w:pStyle w:val="ListBullet"/>
      </w:pPr>
      <w:r>
        <w:t>Agent pool</w:t>
      </w:r>
    </w:p>
    <w:p>
      <w:pPr>
        <w:pStyle w:val="ListBullet"/>
      </w:pPr>
      <w:r>
        <w:t>Capacity map</w:t>
      </w:r>
    </w:p>
    <w:p>
      <w:pPr>
        <w:pStyle w:val="ListBullet"/>
      </w:pPr>
      <w:r>
        <w:t>Escalation queue</w:t>
      </w:r>
    </w:p>
    <w:p>
      <w:pPr>
        <w:pStyle w:val="ListBullet"/>
      </w:pPr>
      <w:r>
        <w:t>Safety incidents</w:t>
      </w:r>
    </w:p>
    <w:p>
      <w:pPr>
        <w:pStyle w:val="ListBullet"/>
      </w:pPr>
      <w:r>
        <w:t>QC backlog</w:t>
      </w:r>
    </w:p>
    <w:p>
      <w:pPr>
        <w:pStyle w:val="ListBullet"/>
      </w:pPr>
      <w:r>
        <w:t>Rework queue</w:t>
      </w:r>
    </w:p>
    <w:p>
      <w:pPr>
        <w:pStyle w:val="ListBullet"/>
      </w:pPr>
      <w:r>
        <w:t>Reassignment</w:t>
      </w:r>
    </w:p>
    <w:p>
      <w:pPr>
        <w:pStyle w:val="ListBullet"/>
      </w:pPr>
      <w:r>
        <w:t>Performance</w:t>
      </w:r>
    </w:p>
    <w:p>
      <w:pPr>
        <w:pStyle w:val="ListBullet"/>
      </w:pPr>
      <w:r>
        <w:t>Billing/payout exceptions</w:t>
      </w:r>
    </w:p>
    <w:p>
      <w:r>
        <w:t>The Command Center should let Operations answer: what is happening, where, who is responsible, what is blocked, and what needs intervention.</w:t>
      </w:r>
    </w:p>
    <w:p>
      <w:pPr>
        <w:pStyle w:val="Heading1"/>
      </w:pPr>
      <w:r>
        <w:t>27. Client Isolation</w:t>
      </w:r>
    </w:p>
    <w:p>
      <w:r>
        <w:t>Each client gets a strict tenant boundary.</w:t>
      </w:r>
    </w:p>
    <w:p>
      <w:pPr>
        <w:pStyle w:val="ListBullet"/>
      </w:pPr>
      <w:r>
        <w:t>Client users see only their requests/missions/results</w:t>
      </w:r>
    </w:p>
    <w:p>
      <w:pPr>
        <w:pStyle w:val="ListBullet"/>
      </w:pPr>
      <w:r>
        <w:t>Client APIs are scoped to that tenant</w:t>
      </w:r>
    </w:p>
    <w:p>
      <w:pPr>
        <w:pStyle w:val="ListBullet"/>
      </w:pPr>
      <w:r>
        <w:t>Client reports exclude unrelated data</w:t>
      </w:r>
    </w:p>
    <w:p>
      <w:pPr>
        <w:pStyle w:val="ListBullet"/>
      </w:pPr>
      <w:r>
        <w:t>Agent data is minimized</w:t>
      </w:r>
    </w:p>
    <w:p>
      <w:pPr>
        <w:pStyle w:val="ListBullet"/>
      </w:pPr>
      <w:r>
        <w:t>Cross-client work remains private</w:t>
      </w:r>
    </w:p>
    <w:p>
      <w:r>
        <w:t>FieldForce internal Operations can view cross-client information only where necessary for workforce management and under role-based access controls.</w:t>
      </w:r>
    </w:p>
    <w:p>
      <w:pPr>
        <w:pStyle w:val="Heading1"/>
      </w:pPr>
      <w:r>
        <w:t>28. ASOJU Integration</w:t>
      </w:r>
    </w:p>
    <w:p>
      <w:r>
        <w:t>ASOJU should integrate through APIs/events rather than direct database coupling.</w:t>
      </w:r>
    </w:p>
    <w:p>
      <w:pPr>
        <w:pStyle w:val="ListBullet"/>
      </w:pPr>
      <w:r>
        <w:t>Submit fieldwork request</w:t>
      </w:r>
    </w:p>
    <w:p>
      <w:pPr>
        <w:pStyle w:val="ListBullet"/>
      </w:pPr>
      <w:r>
        <w:t>Receive request acceptance/status</w:t>
      </w:r>
    </w:p>
    <w:p>
      <w:pPr>
        <w:pStyle w:val="ListBullet"/>
      </w:pPr>
      <w:r>
        <w:t>Receive mission/result updates</w:t>
      </w:r>
    </w:p>
    <w:p>
      <w:pPr>
        <w:pStyle w:val="ListBullet"/>
      </w:pPr>
      <w:r>
        <w:t>Receive evidence package references</w:t>
      </w:r>
    </w:p>
    <w:p>
      <w:pPr>
        <w:pStyle w:val="ListBullet"/>
      </w:pPr>
      <w:r>
        <w:t>Receive QC/completion result</w:t>
      </w:r>
    </w:p>
    <w:p>
      <w:pPr>
        <w:pStyle w:val="ListBullet"/>
      </w:pPr>
      <w:r>
        <w:t>Receive billing/agent-cost information as contractually required</w:t>
      </w:r>
    </w:p>
    <w:p>
      <w:r>
        <w:t>FieldForce should continue operating its agent network if the ASOJU integration is temporarily unavailable, then reconcile through safe synchronization.</w:t>
      </w:r>
    </w:p>
    <w:p>
      <w:pPr>
        <w:pStyle w:val="Heading1"/>
      </w:pPr>
      <w:r>
        <w:t>29. ASOJU-Specific Value</w:t>
      </w:r>
    </w:p>
    <w:p>
      <w:r>
        <w:t>FieldForce gives ASOJU:</w:t>
      </w:r>
    </w:p>
    <w:p>
      <w:pPr>
        <w:pStyle w:val="ListBullet"/>
      </w:pPr>
      <w:r>
        <w:t>Ready pool of experienced agents</w:t>
      </w:r>
    </w:p>
    <w:p>
      <w:pPr>
        <w:pStyle w:val="ListBullet"/>
      </w:pPr>
      <w:r>
        <w:t>National/LGA coverage</w:t>
      </w:r>
    </w:p>
    <w:p>
      <w:pPr>
        <w:pStyle w:val="ListBullet"/>
      </w:pPr>
      <w:r>
        <w:t>Lower workforce management burden</w:t>
      </w:r>
    </w:p>
    <w:p>
      <w:pPr>
        <w:pStyle w:val="ListBullet"/>
      </w:pPr>
      <w:r>
        <w:t>Faster assignment</w:t>
      </w:r>
    </w:p>
    <w:p>
      <w:pPr>
        <w:pStyle w:val="ListBullet"/>
      </w:pPr>
      <w:r>
        <w:t>Verified evidence</w:t>
      </w:r>
    </w:p>
    <w:p>
      <w:pPr>
        <w:pStyle w:val="ListBullet"/>
      </w:pPr>
      <w:r>
        <w:t>Operational visibility</w:t>
      </w:r>
    </w:p>
    <w:p>
      <w:pPr>
        <w:pStyle w:val="ListBullet"/>
      </w:pPr>
      <w:r>
        <w:t>Predictable field-service pricing</w:t>
      </w:r>
    </w:p>
    <w:p>
      <w:pPr>
        <w:pStyle w:val="ListBullet"/>
      </w:pPr>
      <w:r>
        <w:t>Scalable execution capacity</w:t>
      </w:r>
    </w:p>
    <w:p>
      <w:r>
        <w:t>ASOJU should be able to increase physical-service volume without proportionally increasing internal headcount.</w:t>
      </w:r>
    </w:p>
    <w:p>
      <w:pPr>
        <w:pStyle w:val="Heading1"/>
      </w:pPr>
      <w:r>
        <w:t>30. Other Client Value</w:t>
      </w:r>
    </w:p>
    <w:p>
      <w:r>
        <w:t>Other businesses receive the same infrastructure without having to build a field workforce.</w:t>
      </w:r>
    </w:p>
    <w:p>
      <w:pPr>
        <w:pStyle w:val="ListBullet"/>
      </w:pPr>
      <w:r>
        <w:t>Request trusted people</w:t>
      </w:r>
    </w:p>
    <w:p>
      <w:pPr>
        <w:pStyle w:val="ListBullet"/>
      </w:pPr>
      <w:r>
        <w:t>Choose service</w:t>
      </w:r>
    </w:p>
    <w:p>
      <w:pPr>
        <w:pStyle w:val="ListBullet"/>
      </w:pPr>
      <w:r>
        <w:t>Set SLA</w:t>
      </w:r>
    </w:p>
    <w:p>
      <w:pPr>
        <w:pStyle w:val="ListBullet"/>
      </w:pPr>
      <w:r>
        <w:t>Track mission</w:t>
      </w:r>
    </w:p>
    <w:p>
      <w:pPr>
        <w:pStyle w:val="ListBullet"/>
      </w:pPr>
      <w:r>
        <w:t>Receive evidence</w:t>
      </w:r>
    </w:p>
    <w:p>
      <w:pPr>
        <w:pStyle w:val="ListBullet"/>
      </w:pPr>
      <w:r>
        <w:t>Pay one service provider</w:t>
      </w:r>
    </w:p>
    <w:p>
      <w:pPr>
        <w:pStyle w:val="ListBullet"/>
      </w:pPr>
      <w:r>
        <w:t>Avoid recruitment/training overhead</w:t>
      </w:r>
    </w:p>
    <w:p>
      <w:pPr>
        <w:pStyle w:val="Heading1"/>
      </w:pPr>
      <w:r>
        <w:t>31. Revenue Streams</w:t>
      </w:r>
    </w:p>
    <w:p>
      <w:pPr>
        <w:pStyle w:val="ListBullet"/>
      </w:pPr>
      <w:r>
        <w:t>Per-mission field services</w:t>
      </w:r>
    </w:p>
    <w:p>
      <w:pPr>
        <w:pStyle w:val="ListBullet"/>
      </w:pPr>
      <w:r>
        <w:t>Enterprise contracts</w:t>
      </w:r>
    </w:p>
    <w:p>
      <w:pPr>
        <w:pStyle w:val="ListBullet"/>
      </w:pPr>
      <w:r>
        <w:t>Managed fieldwork programs</w:t>
      </w:r>
    </w:p>
    <w:p>
      <w:pPr>
        <w:pStyle w:val="ListBullet"/>
      </w:pPr>
      <w:r>
        <w:t>Specialized verification</w:t>
      </w:r>
    </w:p>
    <w:p>
      <w:pPr>
        <w:pStyle w:val="ListBullet"/>
      </w:pPr>
      <w:r>
        <w:t>Priority/SLA services</w:t>
      </w:r>
    </w:p>
    <w:p>
      <w:pPr>
        <w:pStyle w:val="ListBullet"/>
      </w:pPr>
      <w:r>
        <w:t>Custom nationwide campaigns</w:t>
      </w:r>
    </w:p>
    <w:p>
      <w:pPr>
        <w:pStyle w:val="ListBullet"/>
      </w:pPr>
      <w:r>
        <w:t>API-enabled physical verification services</w:t>
      </w:r>
    </w:p>
    <w:p>
      <w:r>
        <w:t>Agent recruitment should remain frictionless. Do not depend on charging agents to access work.</w:t>
      </w:r>
    </w:p>
    <w:p>
      <w:pPr>
        <w:pStyle w:val="Heading1"/>
      </w:pPr>
      <w:r>
        <w:t>32. Workforce Reserve Strategy</w:t>
      </w:r>
    </w:p>
    <w:p>
      <w:r>
        <w:t>FieldForce should maintain minimum deployable capacity targets for strategically important geographies and services.</w:t>
      </w:r>
    </w:p>
    <w:p>
      <w:r>
        <w:t>Operations can define reserve targets such as minimum qualified agents per LGA/service category and trigger recruitment campaigns when capacity drops below threshold.</w:t>
      </w:r>
    </w:p>
    <w:p>
      <w:pPr>
        <w:pStyle w:val="Heading1"/>
      </w:pPr>
      <w:r>
        <w:t>33. Network Growth</w:t>
      </w:r>
    </w:p>
    <w:p>
      <w:pPr>
        <w:pStyle w:val="ListNumber"/>
      </w:pPr>
      <w:r>
        <w:t>Start with high-demand states/LGAs.</w:t>
      </w:r>
    </w:p>
    <w:p>
      <w:pPr>
        <w:pStyle w:val="ListNumber"/>
      </w:pPr>
      <w:r>
        <w:t>Build dense capability clusters rather than shallow nationwide coverage.</w:t>
      </w:r>
    </w:p>
    <w:p>
      <w:pPr>
        <w:pStyle w:val="ListNumber"/>
      </w:pPr>
      <w:r>
        <w:t>Train agents for multiple complementary services.</w:t>
      </w:r>
    </w:p>
    <w:p>
      <w:pPr>
        <w:pStyle w:val="ListNumber"/>
      </w:pPr>
      <w:r>
        <w:t>Use ASOJU demand as a foundational volume source.</w:t>
      </w:r>
    </w:p>
    <w:p>
      <w:pPr>
        <w:pStyle w:val="ListNumber"/>
      </w:pPr>
      <w:r>
        <w:t>Add external clients to smooth demand.</w:t>
      </w:r>
    </w:p>
    <w:p>
      <w:pPr>
        <w:pStyle w:val="ListNumber"/>
      </w:pPr>
      <w:r>
        <w:t>Expand geographic coverage based on proven demand and reserve requirements.</w:t>
      </w:r>
    </w:p>
    <w:p>
      <w:r>
        <w:t>The goal is experienced density, not merely a large registration count.</w:t>
      </w:r>
    </w:p>
    <w:p>
      <w:pPr>
        <w:pStyle w:val="Heading1"/>
      </w:pPr>
      <w:r>
        <w:t>34.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Strategic meaning</w:t>
            </w:r>
          </w:p>
        </w:tc>
      </w:tr>
      <w:tr>
        <w:tc>
          <w:tcPr>
            <w:tcW w:type="dxa" w:w="5112"/>
          </w:tcPr>
          <w:p>
            <w:r>
              <w:t>QC-approved missions/month</w:t>
            </w:r>
          </w:p>
        </w:tc>
        <w:tc>
          <w:tcPr>
            <w:tcW w:type="dxa" w:w="5112"/>
          </w:tcPr>
          <w:p>
            <w:r>
              <w:t>Core network output</w:t>
            </w:r>
          </w:p>
        </w:tc>
      </w:tr>
      <w:tr>
        <w:tc>
          <w:tcPr>
            <w:tcW w:type="dxa" w:w="5112"/>
          </w:tcPr>
          <w:p>
            <w:r>
              <w:t>Active experienced agents</w:t>
            </w:r>
          </w:p>
        </w:tc>
        <w:tc>
          <w:tcPr>
            <w:tcW w:type="dxa" w:w="5112"/>
          </w:tcPr>
          <w:p>
            <w:r>
              <w:t>Real workforce capacity</w:t>
            </w:r>
          </w:p>
        </w:tc>
      </w:tr>
      <w:tr>
        <w:tc>
          <w:tcPr>
            <w:tcW w:type="dxa" w:w="5112"/>
          </w:tcPr>
          <w:p>
            <w:r>
              <w:t>Coverage by LGA</w:t>
            </w:r>
          </w:p>
        </w:tc>
        <w:tc>
          <w:tcPr>
            <w:tcW w:type="dxa" w:w="5112"/>
          </w:tcPr>
          <w:p>
            <w:r>
              <w:t>Geographic strength</w:t>
            </w:r>
          </w:p>
        </w:tc>
      </w:tr>
      <w:tr>
        <w:tc>
          <w:tcPr>
            <w:tcW w:type="dxa" w:w="5112"/>
          </w:tcPr>
          <w:p>
            <w:r>
              <w:t>SLA fulfillment</w:t>
            </w:r>
          </w:p>
        </w:tc>
        <w:tc>
          <w:tcPr>
            <w:tcW w:type="dxa" w:w="5112"/>
          </w:tcPr>
          <w:p>
            <w:r>
              <w:t>Client reliability</w:t>
            </w:r>
          </w:p>
        </w:tc>
      </w:tr>
      <w:tr>
        <w:tc>
          <w:tcPr>
            <w:tcW w:type="dxa" w:w="5112"/>
          </w:tcPr>
          <w:p>
            <w:r>
              <w:t>Evidence acceptance</w:t>
            </w:r>
          </w:p>
        </w:tc>
        <w:tc>
          <w:tcPr>
            <w:tcW w:type="dxa" w:w="5112"/>
          </w:tcPr>
          <w:p>
            <w:r>
              <w:t>Trust/quality</w:t>
            </w:r>
          </w:p>
        </w:tc>
      </w:tr>
      <w:tr>
        <w:tc>
          <w:tcPr>
            <w:tcW w:type="dxa" w:w="5112"/>
          </w:tcPr>
          <w:p>
            <w:r>
              <w:t>Agent retention</w:t>
            </w:r>
          </w:p>
        </w:tc>
        <w:tc>
          <w:tcPr>
            <w:tcW w:type="dxa" w:w="5112"/>
          </w:tcPr>
          <w:p>
            <w:r>
              <w:t>Network health</w:t>
            </w:r>
          </w:p>
        </w:tc>
      </w:tr>
      <w:tr>
        <w:tc>
          <w:tcPr>
            <w:tcW w:type="dxa" w:w="5112"/>
          </w:tcPr>
          <w:p>
            <w:r>
              <w:t>Agent utilization</w:t>
            </w:r>
          </w:p>
        </w:tc>
        <w:tc>
          <w:tcPr>
            <w:tcW w:type="dxa" w:w="5112"/>
          </w:tcPr>
          <w:p>
            <w:r>
              <w:t>Workforce economics</w:t>
            </w:r>
          </w:p>
        </w:tc>
      </w:tr>
      <w:tr>
        <w:tc>
          <w:tcPr>
            <w:tcW w:type="dxa" w:w="5112"/>
          </w:tcPr>
          <w:p>
            <w:r>
              <w:t>Repeat client rate</w:t>
            </w:r>
          </w:p>
        </w:tc>
        <w:tc>
          <w:tcPr>
            <w:tcW w:type="dxa" w:w="5112"/>
          </w:tcPr>
          <w:p>
            <w:r>
              <w:t>Commercial strength</w:t>
            </w:r>
          </w:p>
        </w:tc>
      </w:tr>
      <w:tr>
        <w:tc>
          <w:tcPr>
            <w:tcW w:type="dxa" w:w="5112"/>
          </w:tcPr>
          <w:p>
            <w:r>
              <w:t>Mission margin</w:t>
            </w:r>
          </w:p>
        </w:tc>
        <w:tc>
          <w:tcPr>
            <w:tcW w:type="dxa" w:w="5112"/>
          </w:tcPr>
          <w:p>
            <w:r>
              <w:t>Business sustainability</w:t>
            </w:r>
          </w:p>
        </w:tc>
      </w:tr>
      <w:tr>
        <w:tc>
          <w:tcPr>
            <w:tcW w:type="dxa" w:w="5112"/>
          </w:tcPr>
          <w:p>
            <w:r>
              <w:t>Rework rate</w:t>
            </w:r>
          </w:p>
        </w:tc>
        <w:tc>
          <w:tcPr>
            <w:tcW w:type="dxa" w:w="5112"/>
          </w:tcPr>
          <w:p>
            <w:r>
              <w:t>Operational quality</w:t>
            </w:r>
          </w:p>
        </w:tc>
      </w:tr>
      <w:tr>
        <w:tc>
          <w:tcPr>
            <w:tcW w:type="dxa" w:w="5112"/>
          </w:tcPr>
          <w:p>
            <w:r>
              <w:t>Escalation resolution time</w:t>
            </w:r>
          </w:p>
        </w:tc>
        <w:tc>
          <w:tcPr>
            <w:tcW w:type="dxa" w:w="5112"/>
          </w:tcPr>
          <w:p>
            <w:r>
              <w:t>Operations quality</w:t>
            </w:r>
          </w:p>
        </w:tc>
      </w:tr>
    </w:tbl>
    <w:p>
      <w:pPr>
        <w:pStyle w:val="Heading1"/>
      </w:pPr>
      <w:r>
        <w:t>35. Product Roadmap</w:t>
      </w:r>
    </w:p>
    <w:p>
      <w:pPr>
        <w:pStyle w:val="Heading2"/>
      </w:pPr>
      <w:r>
        <w:t>Phase 1 — FieldForce Core</w:t>
      </w:r>
    </w:p>
    <w:p>
      <w:pPr>
        <w:pStyle w:val="ListBullet"/>
      </w:pPr>
      <w:r>
        <w:t>Agent onboarding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LGA coverage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Mission feed</w:t>
      </w:r>
    </w:p>
    <w:p>
      <w:pPr>
        <w:pStyle w:val="ListBullet"/>
      </w:pPr>
      <w:r>
        <w:t>Execution</w:t>
      </w:r>
    </w:p>
    <w:p>
      <w:pPr>
        <w:pStyle w:val="ListBullet"/>
      </w:pPr>
      <w:r>
        <w:t>GPS</w:t>
      </w:r>
    </w:p>
    <w:p>
      <w:pPr>
        <w:pStyle w:val="ListBullet"/>
      </w:pPr>
      <w:r>
        <w:t>Checklist</w:t>
      </w:r>
    </w:p>
    <w:p>
      <w:pPr>
        <w:pStyle w:val="ListBullet"/>
      </w:pPr>
      <w:r>
        <w:t>Evidence</w:t>
      </w:r>
    </w:p>
    <w:p>
      <w:pPr>
        <w:pStyle w:val="ListBullet"/>
      </w:pPr>
      <w:r>
        <w:t>Offline</w:t>
      </w:r>
    </w:p>
    <w:p>
      <w:pPr>
        <w:pStyle w:val="ListBullet"/>
      </w:pPr>
      <w:r>
        <w:t>Escalation</w:t>
      </w:r>
    </w:p>
    <w:p>
      <w:pPr>
        <w:pStyle w:val="ListBullet"/>
      </w:pPr>
      <w:r>
        <w:t>Basic QC</w:t>
      </w:r>
    </w:p>
    <w:p>
      <w:pPr>
        <w:pStyle w:val="ListBullet"/>
      </w:pPr>
      <w:r>
        <w:t>Wallet</w:t>
      </w:r>
    </w:p>
    <w:p>
      <w:pPr>
        <w:pStyle w:val="ListBullet"/>
      </w:pPr>
      <w:r>
        <w:t>Operations</w:t>
      </w:r>
    </w:p>
    <w:p>
      <w:pPr>
        <w:pStyle w:val="ListBullet"/>
      </w:pPr>
      <w:r>
        <w:t>ASOJU integration</w:t>
      </w:r>
    </w:p>
    <w:p>
      <w:pPr>
        <w:pStyle w:val="Heading2"/>
      </w:pPr>
      <w:r>
        <w:t>Phase 2 — Independent Multi-Client Network</w:t>
      </w:r>
    </w:p>
    <w:p>
      <w:pPr>
        <w:pStyle w:val="ListBullet"/>
      </w:pPr>
      <w:r>
        <w:t>Client portal</w:t>
      </w:r>
    </w:p>
    <w:p>
      <w:pPr>
        <w:pStyle w:val="ListBullet"/>
      </w:pPr>
      <w:r>
        <w:t>Service catalog</w:t>
      </w:r>
    </w:p>
    <w:p>
      <w:pPr>
        <w:pStyle w:val="ListBullet"/>
      </w:pPr>
      <w:r>
        <w:t>Pricing/SLA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Agent tiers</w:t>
      </w:r>
    </w:p>
    <w:p>
      <w:pPr>
        <w:pStyle w:val="ListBullet"/>
      </w:pPr>
      <w:r>
        <w:t>Reputation</w:t>
      </w:r>
    </w:p>
    <w:p>
      <w:pPr>
        <w:pStyle w:val="ListBullet"/>
      </w:pPr>
      <w:r>
        <w:t>Academy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Smart matching</w:t>
      </w:r>
    </w:p>
    <w:p>
      <w:pPr>
        <w:pStyle w:val="ListBullet"/>
      </w:pPr>
      <w:r>
        <w:t>Expenses</w:t>
      </w:r>
    </w:p>
    <w:p>
      <w:pPr>
        <w:pStyle w:val="ListBullet"/>
      </w:pPr>
      <w:r>
        <w:t>Advanced QC</w:t>
      </w:r>
    </w:p>
    <w:p>
      <w:pPr>
        <w:pStyle w:val="ListBullet"/>
      </w:pPr>
      <w:r>
        <w:t>Safety</w:t>
      </w:r>
    </w:p>
    <w:p>
      <w:pPr>
        <w:pStyle w:val="ListBullet"/>
      </w:pPr>
      <w:r>
        <w:t>Trust console</w:t>
      </w:r>
    </w:p>
    <w:p>
      <w:pPr>
        <w:pStyle w:val="ListBullet"/>
      </w:pPr>
      <w:r>
        <w:t>Enterprise API</w:t>
      </w:r>
    </w:p>
    <w:p>
      <w:pPr>
        <w:pStyle w:val="Heading2"/>
      </w:pPr>
      <w:r>
        <w:t>Phase 3 — National Field Infrastructure</w:t>
      </w:r>
    </w:p>
    <w:p>
      <w:pPr>
        <w:pStyle w:val="ListBullet"/>
      </w:pPr>
      <w:r>
        <w:t>Capacity forecasting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AI matching assistance</w:t>
      </w:r>
    </w:p>
    <w:p>
      <w:pPr>
        <w:pStyle w:val="ListBullet"/>
      </w:pPr>
      <w:r>
        <w:t>Dynamic pricing</w:t>
      </w:r>
    </w:p>
    <w:p>
      <w:pPr>
        <w:pStyle w:val="ListBullet"/>
      </w:pPr>
      <w:r>
        <w:t>Network optimization</w:t>
      </w:r>
    </w:p>
    <w:p>
      <w:pPr>
        <w:pStyle w:val="ListBullet"/>
      </w:pPr>
      <w:r>
        <w:t>Enterprise field programs</w:t>
      </w:r>
    </w:p>
    <w:p>
      <w:pPr>
        <w:pStyle w:val="ListBullet"/>
      </w:pPr>
      <w:r>
        <w:t>Advanced anomaly detection</w:t>
      </w:r>
    </w:p>
    <w:p>
      <w:pPr>
        <w:pStyle w:val="ListBullet"/>
      </w:pPr>
      <w:r>
        <w:t>Partner ecosystem</w:t>
      </w:r>
    </w:p>
    <w:p>
      <w:pPr>
        <w:pStyle w:val="ListBullet"/>
      </w:pPr>
      <w:r>
        <w:t>International expansion</w:t>
      </w:r>
    </w:p>
    <w:p>
      <w:pPr>
        <w:pStyle w:val="Heading1"/>
      </w:pPr>
      <w:r>
        <w:t>36. What Success Looks Like</w:t>
      </w:r>
    </w:p>
    <w:p>
      <w:r>
        <w:t>A customer submits: 'Inspect this property in an LGA tomorrow.'</w:t>
      </w:r>
    </w:p>
    <w:p>
      <w:r>
        <w:t>FieldForce can immediately determine whether it has a qualified operator, offer the mission, verify physical presence, guide execution, collect the required evidence, resolve blockers, complete QC, deliver the result, and settle the operator.</w:t>
      </w:r>
    </w:p>
    <w:p>
      <w:r>
        <w:t>For ASOJU, this becomes an API-driven capability rather than an internal staffing problem.</w:t>
      </w:r>
    </w:p>
    <w:p>
      <w:r>
        <w:t>For the wider market, it becomes a purchasable physical-execution service.</w:t>
      </w:r>
    </w:p>
    <w:p>
      <w:pPr>
        <w:pStyle w:val="Heading1"/>
      </w:pPr>
      <w:r>
        <w:t>37. Final Product Position</w:t>
      </w:r>
    </w:p>
    <w:p>
      <w:r>
        <w:t>FieldForce is an independent fieldwork network and technology platform. ASOJU is its anchor customer and one of its most important integrations.</w:t>
      </w:r>
    </w:p>
    <w:p>
      <w:r>
        <w:t>The product should be designed so that the workforce, operational capabilities, reputation, certifications, geographic coverage, and service infrastructure become reusable across clients.</w:t>
      </w:r>
    </w:p>
    <w:p>
      <w:r>
        <w:t>The ultimate competitive advantage is a dense, trusted, experienced Nigerian field network that can be deployed on demand.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FieldForce • Product Blueprint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