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 Deposit Subscription Prediction</w:t>
        <w:br/>
        <w:t>(CRISP-DM Analysis)</w:t>
      </w:r>
    </w:p>
    <w:p>
      <w:pPr>
        <w:pStyle w:val="Heading1"/>
      </w:pPr>
      <w:r>
        <w:t>Project Overview</w:t>
      </w:r>
    </w:p>
    <w:p>
      <w:r>
        <w:t>This project applies the CRISP-DM methodology to analyze a Bank Marketing dataset. The primary business objective is to predict whether a client will subscribe to a term deposit (variable y).</w:t>
      </w:r>
    </w:p>
    <w:p>
      <w:pPr>
        <w:pStyle w:val="Heading1"/>
      </w:pPr>
      <w:r>
        <w:t>Key Insights &amp; Findings</w:t>
      </w:r>
    </w:p>
    <w:p>
      <w:pPr>
        <w:pStyle w:val="Heading2"/>
      </w:pPr>
      <w:r>
        <w:t>1. Demographic Factors</w:t>
      </w:r>
    </w:p>
    <w:p>
      <w:r>
        <w:rPr>
          <w:b/>
        </w:rPr>
        <w:t xml:space="preserve">Job Role: </w:t>
      </w:r>
      <w:r>
        <w:t>Students and Retired individuals show the highest subscription rates (approx. 30% vs average 11%).</w:t>
      </w:r>
    </w:p>
    <w:p>
      <w:r>
        <w:rPr>
          <w:b/>
        </w:rPr>
        <w:t xml:space="preserve">Age: </w:t>
      </w:r>
      <w:r>
        <w:t>The relationship is U-shaped. Young adults (&lt;25 years) and seniors (&gt;60 years) are significantly more likely to subscribe compared to middle-aged working adults.</w:t>
      </w:r>
    </w:p>
    <w:p>
      <w:pPr>
        <w:pStyle w:val="Heading2"/>
      </w:pPr>
      <w:r>
        <w:t>2. Temporal Factors</w:t>
      </w:r>
    </w:p>
    <w:p>
      <w:r>
        <w:rPr>
          <w:b/>
        </w:rPr>
        <w:t xml:space="preserve">Seasonality: </w:t>
      </w:r>
      <w:r>
        <w:t>There is a strong seasonal trend. March, September, October, and December typically show conversion rates &gt;40%, whereas May (the highest volume month) has the lowest conversion rate.</w:t>
      </w:r>
    </w:p>
    <w:p>
      <w:pPr>
        <w:pStyle w:val="Heading2"/>
      </w:pPr>
      <w:r>
        <w:t>3. Economic Context</w:t>
      </w:r>
    </w:p>
    <w:p>
      <w:r>
        <w:t>Success is strongly correlated with economic indicators like Employment Variation Rate and Euribor 3-month Rate. Lower interest rates generally correlate with higher subscription probability.</w:t>
      </w:r>
    </w:p>
    <w:p>
      <w:pPr>
        <w:pStyle w:val="Heading2"/>
      </w:pPr>
      <w:r>
        <w:t>4. Key Predictors</w:t>
      </w:r>
    </w:p>
    <w:p>
      <w:r>
        <w:t>The duration of the last contact is the single strongest predictor of success, though it is a lagging indicator.</w:t>
      </w:r>
    </w:p>
    <w:p>
      <w:pPr>
        <w:pStyle w:val="Heading1"/>
      </w:pPr>
      <w:r>
        <w:t>Model Performance (Hyperparameter Tuned)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Test Accuracy</w:t>
            </w:r>
          </w:p>
        </w:tc>
        <w:tc>
          <w:tcPr>
            <w:tcW w:type="dxa" w:w="2160"/>
          </w:tcPr>
          <w:p>
            <w:r>
              <w:t>Best Parameters</w:t>
            </w:r>
          </w:p>
        </w:tc>
        <w:tc>
          <w:tcPr>
            <w:tcW w:type="dxa" w:w="2160"/>
          </w:tcPr>
          <w:p>
            <w:r>
              <w:t>Key Observations</w:t>
            </w:r>
          </w:p>
        </w:tc>
      </w:tr>
      <w:tr>
        <w:tc>
          <w:tcPr>
            <w:tcW w:type="dxa" w:w="2160"/>
          </w:tcPr>
          <w:p>
            <w:r>
              <w:t>Decision Tree</w:t>
            </w:r>
          </w:p>
        </w:tc>
        <w:tc>
          <w:tcPr>
            <w:tcW w:type="dxa" w:w="2160"/>
          </w:tcPr>
          <w:p>
            <w:r>
              <w:t>91.62%</w:t>
            </w:r>
          </w:p>
        </w:tc>
        <w:tc>
          <w:tcPr>
            <w:tcW w:type="dxa" w:w="2160"/>
          </w:tcPr>
          <w:p>
            <w:r>
              <w:t>Max Depth: 5</w:t>
            </w:r>
          </w:p>
        </w:tc>
        <w:tc>
          <w:tcPr>
            <w:tcW w:type="dxa" w:w="2160"/>
          </w:tcPr>
          <w:p>
            <w:r>
              <w:t>Top performer after tuning. Limiting depth prevented overfitting.</w:t>
            </w:r>
          </w:p>
        </w:tc>
      </w:tr>
      <w:tr>
        <w:tc>
          <w:tcPr>
            <w:tcW w:type="dxa" w:w="2160"/>
          </w:tcPr>
          <w:p>
            <w:r>
              <w:t>Logistic Regression</w:t>
            </w:r>
          </w:p>
        </w:tc>
        <w:tc>
          <w:tcPr>
            <w:tcW w:type="dxa" w:w="2160"/>
          </w:tcPr>
          <w:p>
            <w:r>
              <w:t>91.20%</w:t>
            </w:r>
          </w:p>
        </w:tc>
        <w:tc>
          <w:tcPr>
            <w:tcW w:type="dxa" w:w="2160"/>
          </w:tcPr>
          <w:p>
            <w:r>
              <w:t>C: 1</w:t>
            </w:r>
          </w:p>
        </w:tc>
        <w:tc>
          <w:tcPr>
            <w:tcW w:type="dxa" w:w="2160"/>
          </w:tcPr>
          <w:p>
            <w:r>
              <w:t>Strong baseline; fast training time (~1.2s).</w:t>
            </w:r>
          </w:p>
        </w:tc>
      </w:tr>
      <w:tr>
        <w:tc>
          <w:tcPr>
            <w:tcW w:type="dxa" w:w="2160"/>
          </w:tcPr>
          <w:p>
            <w:r>
              <w:t>SVM</w:t>
            </w:r>
          </w:p>
        </w:tc>
        <w:tc>
          <w:tcPr>
            <w:tcW w:type="dxa" w:w="2160"/>
          </w:tcPr>
          <w:p>
            <w:r>
              <w:t>91.20%</w:t>
            </w:r>
          </w:p>
        </w:tc>
        <w:tc>
          <w:tcPr>
            <w:tcW w:type="dxa" w:w="2160"/>
          </w:tcPr>
          <w:p>
            <w:r>
              <w:t>Kernel: rbf, C: 1</w:t>
            </w:r>
          </w:p>
        </w:tc>
        <w:tc>
          <w:tcPr>
            <w:tcW w:type="dxa" w:w="2160"/>
          </w:tcPr>
          <w:p>
            <w:r>
              <w:t>Comparable accuracy to Logistic Regression but slower training time.</w:t>
            </w:r>
          </w:p>
        </w:tc>
      </w:tr>
      <w:tr>
        <w:tc>
          <w:tcPr>
            <w:tcW w:type="dxa" w:w="2160"/>
          </w:tcPr>
          <w:p>
            <w:r>
              <w:t>SGD Classifier</w:t>
            </w:r>
          </w:p>
        </w:tc>
        <w:tc>
          <w:tcPr>
            <w:tcW w:type="dxa" w:w="2160"/>
          </w:tcPr>
          <w:p>
            <w:r>
              <w:t>91.03%</w:t>
            </w:r>
          </w:p>
        </w:tc>
        <w:tc>
          <w:tcPr>
            <w:tcW w:type="dxa" w:w="2160"/>
          </w:tcPr>
          <w:p>
            <w:r>
              <w:t>Max Iter: 2000</w:t>
            </w:r>
          </w:p>
        </w:tc>
        <w:tc>
          <w:tcPr>
            <w:tcW w:type="dxa" w:w="2160"/>
          </w:tcPr>
          <w:p>
            <w:r>
              <w:t>Good efficiency, slightly lower accuracy than LogReg.</w:t>
            </w:r>
          </w:p>
        </w:tc>
      </w:tr>
      <w:tr>
        <w:tc>
          <w:tcPr>
            <w:tcW w:type="dxa" w:w="2160"/>
          </w:tcPr>
          <w:p>
            <w:r>
              <w:t>KNN</w:t>
            </w:r>
          </w:p>
        </w:tc>
        <w:tc>
          <w:tcPr>
            <w:tcW w:type="dxa" w:w="2160"/>
          </w:tcPr>
          <w:p>
            <w:r>
              <w:t>90.13%</w:t>
            </w:r>
          </w:p>
        </w:tc>
        <w:tc>
          <w:tcPr>
            <w:tcW w:type="dxa" w:w="2160"/>
          </w:tcPr>
          <w:p>
            <w:r>
              <w:t>Neighbors: 7</w:t>
            </w:r>
          </w:p>
        </w:tc>
        <w:tc>
          <w:tcPr>
            <w:tcW w:type="dxa" w:w="2160"/>
          </w:tcPr>
          <w:p>
            <w:r>
              <w:t>Lowest tuned accuracy; computationally expensive at inference.</w:t>
            </w:r>
          </w:p>
        </w:tc>
      </w:tr>
    </w:tbl>
    <w:p>
      <w:pPr>
        <w:pStyle w:val="Heading1"/>
      </w:pPr>
      <w:r>
        <w:t>Recommendations / Next Steps</w:t>
      </w:r>
    </w:p>
    <w:p>
      <w:pPr>
        <w:pStyle w:val="ListBullet"/>
      </w:pPr>
      <w:r>
        <w:t>Targeted Campaigns: Focus on the 'Student' and 'Retired' demographics.</w:t>
      </w:r>
    </w:p>
    <w:p>
      <w:pPr>
        <w:pStyle w:val="ListBullet"/>
      </w:pPr>
      <w:r>
        <w:t>Seasonal Strategy: Shift budget from May to the Fall (Sept/Oct) and Winter (Dec/Mar) months.</w:t>
      </w:r>
    </w:p>
    <w:p>
      <w:pPr>
        <w:pStyle w:val="ListBullet"/>
      </w:pPr>
      <w:r>
        <w:t>Sales Training: Since call duration is critical, train agents to engage customers in meaningful conversations rather than aiming for short call times.</w:t>
      </w:r>
    </w:p>
    <w:p>
      <w:pPr>
        <w:pStyle w:val="Heading1"/>
      </w:pPr>
      <w:r>
        <w:t>Data Source</w:t>
      </w:r>
    </w:p>
    <w:p>
      <w:r>
        <w:t xml:space="preserve">The dataset used for analysis is sourced from the UCI Machine Learning Repository: </w:t>
      </w:r>
      <w:r>
        <w:rPr>
          <w:i/>
        </w:rPr>
        <w:t>https://archive.ics.uci.edu/ml/datasets/bank+marketing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