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20"/>
        <w:jc w:val="center"/>
      </w:pPr>
      <w:r>
        <w:rPr>
          <w:rFonts w:ascii="Arial" w:cs="Arial" w:eastAsia="Arial" w:hAnsi="Arial"/>
          <w:b/>
          <w:bCs/>
          <w:color w:val="1B3A6B"/>
          <w:sz w:val="72"/>
          <w:szCs w:val="72"/>
        </w:rPr>
        <w:t xml:space="preserve">MeshOS</w:t>
      </w:r>
    </w:p>
    <w:p>
      <w:pPr>
        <w:spacing w:before="0" w:after="80"/>
        <w:jc w:val="center"/>
      </w:pPr>
      <w:r>
        <w:rPr>
          <w:rFonts w:ascii="Arial" w:cs="Arial" w:eastAsia="Arial" w:hAnsi="Arial"/>
          <w:color w:val="2E75B6"/>
          <w:sz w:val="32"/>
          <w:szCs w:val="32"/>
        </w:rPr>
        <w:t xml:space="preserve">Technical Architecture Document</w:t>
      </w:r>
    </w:p>
    <w:p>
      <w:pPr>
        <w:spacing w:before="0" w:after="480"/>
        <w:jc w:val="center"/>
      </w:pPr>
      <w:r>
        <w:rPr>
          <w:rFonts w:ascii="Arial" w:cs="Arial" w:eastAsia="Arial" w:hAnsi="Arial"/>
          <w:i/>
          <w:iCs/>
          <w:color w:val="6B7280"/>
          <w:sz w:val="24"/>
          <w:szCs w:val="24"/>
        </w:rPr>
        <w:t xml:space="preserve">MVP &amp; Production-Grade Specifications</w:t>
      </w:r>
    </w:p>
    <w:p>
      <w:pPr>
        <w:pBdr>
          <w:bottom w:val="single" w:color="2E75B6" w:sz="6" w:space="1"/>
        </w:pBdr>
        <w:spacing w:before="160" w:after="160"/>
      </w:pPr>
      <w:r>
        <w:t xml:space="preserve"/>
      </w:r>
    </w:p>
    <w:p>
      <w:pPr>
        <w:spacing w:before="240" w:after="80"/>
        <w:jc w:val="center"/>
      </w:pPr>
      <w:r>
        <w:rPr>
          <w:rFonts w:ascii="Arial" w:cs="Arial" w:eastAsia="Arial" w:hAnsi="Arial"/>
          <w:color w:val="6B7280"/>
          <w:sz w:val="22"/>
          <w:szCs w:val="22"/>
        </w:rPr>
        <w:t xml:space="preserve">Version 1.0  —  Companion to PRD v1.0</w:t>
      </w:r>
    </w:p>
    <w:p>
      <w:pPr>
        <w:spacing w:before="80" w:after="0"/>
        <w:jc w:val="center"/>
      </w:pPr>
      <w:r>
        <w:rPr>
          <w:rFonts w:ascii="Arial" w:cs="Arial" w:eastAsia="Arial" w:hAnsi="Arial"/>
          <w:b/>
          <w:bCs/>
          <w:color w:val="DC2626"/>
          <w:sz w:val="20"/>
          <w:szCs w:val="20"/>
        </w:rPr>
        <w:t xml:space="preserve">Confidential — Not for Distribution</w:t>
      </w:r>
    </w:p>
    <w:p>
      <w:r>
        <w:br/>
        <w:t xml:space="preserve"/>
      </w:r>
    </w:p>
    <w:p>
      <w:pPr>
        <w:pageBreakBefore/>
        <w:spacing w:before="0" w:after="60"/>
      </w:pPr>
      <w:r>
        <w:rPr>
          <w:rFonts w:ascii="Arial" w:cs="Arial" w:eastAsia="Arial" w:hAnsi="Arial"/>
          <w:b/>
          <w:bCs/>
          <w:color w:val="00A9A5"/>
          <w:sz w:val="20"/>
          <w:szCs w:val="20"/>
        </w:rPr>
        <w:t xml:space="preserve">Section 1</w:t>
      </w:r>
    </w:p>
    <w:p>
      <w:pPr>
        <w:pStyle w:val="Heading1"/>
        <w:spacing w:before="0" w:after="160"/>
      </w:pPr>
      <w:r>
        <w:rPr>
          <w:rFonts w:ascii="Arial" w:cs="Arial" w:eastAsia="Arial" w:hAnsi="Arial"/>
          <w:b/>
          <w:bCs/>
          <w:color w:val="1B3A6B"/>
          <w:sz w:val="36"/>
          <w:szCs w:val="36"/>
        </w:rPr>
        <w:t xml:space="preserve">Architecture Philosophy</w:t>
      </w:r>
    </w:p>
    <w:p>
      <w:pPr>
        <w:spacing w:before="0" w:after="200"/>
      </w:pPr>
      <w:r>
        <w:rPr>
          <w:rFonts w:ascii="Arial" w:cs="Arial" w:eastAsia="Arial" w:hAnsi="Arial"/>
          <w:i/>
          <w:iCs/>
          <w:color w:val="6B7280"/>
          <w:sz w:val="20"/>
          <w:szCs w:val="20"/>
        </w:rPr>
        <w:t xml:space="preserve">The principles that govern every technical decision in this document</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MeshOS is being built with Claude Code as the primary engineering capability. This is not a constraint — it is a genuine advantage when the architecture is designed to leverage it. Claude Code excels at integrating well-documented open source systems, implementing against clear interface specifications, and reasoning about standard protocols. It struggles with novel infrastructure, poorly documented systems, and architectural ambiguity.</w:t>
      </w:r>
    </w:p>
    <w:p>
      <w:pPr>
        <w:spacing w:before="80" w:after="120"/>
      </w:pPr>
      <w:r>
        <w:t xml:space="preserve"/>
      </w:r>
    </w:p>
    <w:p>
      <w:pPr>
        <w:spacing w:before="60" w:after="80"/>
      </w:pPr>
      <w:r>
        <w:rPr>
          <w:rFonts w:ascii="Arial" w:cs="Arial" w:eastAsia="Arial" w:hAnsi="Arial"/>
          <w:color w:val="111827"/>
          <w:sz w:val="20"/>
          <w:szCs w:val="20"/>
        </w:rPr>
        <w:t xml:space="preserve">Every architectural decision in this document therefore optimizes for three properties simultaneously:</w:t>
      </w:r>
    </w:p>
    <w:p>
      <w:pPr>
        <w:pStyle w:val="ListParagraph"/>
        <w:numPr>
          <w:ilvl w:val="0"/>
          <w:numId w:val="2"/>
        </w:numPr>
        <w:spacing w:before="40" w:after="40"/>
      </w:pPr>
      <w:r>
        <w:rPr>
          <w:rFonts w:ascii="Arial" w:cs="Arial" w:eastAsia="Arial" w:hAnsi="Arial"/>
          <w:color w:val="111827"/>
          <w:sz w:val="20"/>
          <w:szCs w:val="20"/>
        </w:rPr>
        <w:t xml:space="preserve">Legibility — the architecture should be explainable in a single diagram and implementable from clear specifications</w:t>
      </w:r>
    </w:p>
    <w:p>
      <w:pPr>
        <w:pStyle w:val="ListParagraph"/>
        <w:numPr>
          <w:ilvl w:val="0"/>
          <w:numId w:val="2"/>
        </w:numPr>
        <w:spacing w:before="40" w:after="40"/>
      </w:pPr>
      <w:r>
        <w:rPr>
          <w:rFonts w:ascii="Arial" w:cs="Arial" w:eastAsia="Arial" w:hAnsi="Arial"/>
          <w:color w:val="111827"/>
          <w:sz w:val="20"/>
          <w:szCs w:val="20"/>
        </w:rPr>
        <w:t xml:space="preserve">Composability — components should be independently deployable, independently testable, and replaceable without cascading rewrites</w:t>
      </w:r>
    </w:p>
    <w:p>
      <w:pPr>
        <w:pStyle w:val="ListParagraph"/>
        <w:numPr>
          <w:ilvl w:val="0"/>
          <w:numId w:val="2"/>
        </w:numPr>
        <w:spacing w:before="40" w:after="40"/>
      </w:pPr>
      <w:r>
        <w:rPr>
          <w:rFonts w:ascii="Arial" w:cs="Arial" w:eastAsia="Arial" w:hAnsi="Arial"/>
          <w:color w:val="111827"/>
          <w:sz w:val="20"/>
          <w:szCs w:val="20"/>
        </w:rPr>
        <w:t xml:space="preserve">Upgrade path clarity — the MVP architecture should be a strict subset of the production architecture, not a throwaway prototype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60"/>
              <w:left w:type="dxa" w:w="240"/>
              <w:bottom w:type="dxa" w:w="160"/>
              <w:right w:type="dxa" w:w="240"/>
            </w:tcMar>
          </w:tcPr>
          <w:p>
            <w:r>
              <w:rPr>
                <w:rFonts w:ascii="Arial" w:cs="Arial" w:eastAsia="Arial" w:hAnsi="Arial"/>
                <w:color w:val="1B3A6B"/>
                <w:sz w:val="20"/>
                <w:szCs w:val="20"/>
              </w:rPr>
              <w:t xml:space="preserve">The single most important architectural principle: the MVP must be buildable on a startup budget while being architecturally indistinguishable from the production system in its service boundaries and data contracts. What changes from MVP to production is scale, redundancy, and managed service substitution — not structure.</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Five Non-Negotiable Architectural Constraints</w:t>
      </w:r>
    </w:p>
    <w:p>
      <w:pPr>
        <w:spacing w:before="60" w:after="80"/>
      </w:pPr>
      <w:r>
        <w:rPr>
          <w:rFonts w:ascii="Arial" w:cs="Arial" w:eastAsia="Arial" w:hAnsi="Arial"/>
          <w:color w:val="111827"/>
          <w:sz w:val="20"/>
          <w:szCs w:val="20"/>
        </w:rPr>
        <w:t xml:space="preserve">These were established during requirements development and are restated here as hard constraints on every design decision:</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Implication</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The lineage graph must be a native graph database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Relational and document stores cannot efficiently serve arbitrary-depth traversal, impact analysis, and time travel queries at the required performance targets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The policy engine must be a hot-reloadable independent runtime</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changes cannot require platform redeployment — the policy engine is a live process that reloads rules without downtime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Control plane and data plane must be architecturally separated from day one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The platform stores metadata and contracts; data stays in domain infrastructure. This boundary cannot be blurred for MVP speed</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The agent query layer is a distinct service</w:t>
            </w:r>
          </w:p>
        </w:tc>
        <w:tc>
          <w:tcPr>
            <w:tcW w:type="dxa" w:w="6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Latency, concurrency, and policy evaluation requirements for agent queries are incompatible with sharing a process with the control plane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compliance is a native protocol implementation, not an API wrapper</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streaming and capability negotiation patterns do not map cleanly to REST wrapper patterns</w:t>
            </w:r>
          </w:p>
        </w:tc>
      </w:tr>
    </w:tbl>
    <w:p>
      <w:pPr>
        <w:pageBreakBefore/>
        <w:spacing w:before="0" w:after="60"/>
      </w:pPr>
      <w:r>
        <w:rPr>
          <w:rFonts w:ascii="Arial" w:cs="Arial" w:eastAsia="Arial" w:hAnsi="Arial"/>
          <w:b/>
          <w:bCs/>
          <w:color w:val="00A9A5"/>
          <w:sz w:val="20"/>
          <w:szCs w:val="20"/>
        </w:rPr>
        <w:t xml:space="preserve">Section 2</w:t>
      </w:r>
    </w:p>
    <w:p>
      <w:pPr>
        <w:pStyle w:val="Heading1"/>
        <w:spacing w:before="0" w:after="160"/>
      </w:pPr>
      <w:r>
        <w:rPr>
          <w:rFonts w:ascii="Arial" w:cs="Arial" w:eastAsia="Arial" w:hAnsi="Arial"/>
          <w:b/>
          <w:bCs/>
          <w:color w:val="1B3A6B"/>
          <w:sz w:val="36"/>
          <w:szCs w:val="36"/>
        </w:rPr>
        <w:t xml:space="preserve">Open Source Foundation</w:t>
      </w:r>
    </w:p>
    <w:p>
      <w:pPr>
        <w:spacing w:before="0" w:after="200"/>
      </w:pPr>
      <w:r>
        <w:rPr>
          <w:rFonts w:ascii="Arial" w:cs="Arial" w:eastAsia="Arial" w:hAnsi="Arial"/>
          <w:i/>
          <w:iCs/>
          <w:color w:val="6B7280"/>
          <w:sz w:val="20"/>
          <w:szCs w:val="20"/>
        </w:rPr>
        <w:t xml:space="preserve">Best-of-breed open source components selected for documentation quality, community health, Claude Code compatibility, and upgrade path to managed services</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The build philosophy is: open source foundations, custom where differentiated. Your differentiation is the governance engine, the agent integration layer, the trust score model, the port abstraction, and the UX. Everything else should be assembled from well-maintained open source projects with large training corpora — meaning Claude Code has seen extensive examples and documentation.</w:t>
      </w:r>
    </w:p>
    <w:p>
      <w:pPr>
        <w:spacing w:before="120" w:after="120"/>
      </w:pPr>
      <w:r>
        <w:t xml:space="preserve"/>
      </w:r>
    </w:p>
    <w:p>
      <w:pPr>
        <w:pStyle w:val="Heading2"/>
        <w:spacing w:before="320" w:after="160"/>
      </w:pPr>
      <w:r>
        <w:rPr>
          <w:rFonts w:ascii="Arial" w:cs="Arial" w:eastAsia="Arial" w:hAnsi="Arial"/>
          <w:b/>
          <w:bCs/>
          <w:color w:val="2E75B6"/>
          <w:sz w:val="26"/>
          <w:szCs w:val="26"/>
        </w:rPr>
        <w:t xml:space="preserve">Selection Criteria</w:t>
      </w:r>
    </w:p>
    <w:p>
      <w:pPr>
        <w:pStyle w:val="ListParagraph"/>
        <w:numPr>
          <w:ilvl w:val="0"/>
          <w:numId w:val="2"/>
        </w:numPr>
        <w:spacing w:before="40" w:after="40"/>
      </w:pPr>
      <w:r>
        <w:rPr>
          <w:rFonts w:ascii="Arial" w:cs="Arial" w:eastAsia="Arial" w:hAnsi="Arial"/>
          <w:color w:val="111827"/>
          <w:sz w:val="20"/>
          <w:szCs w:val="20"/>
        </w:rPr>
        <w:t xml:space="preserve">Documentation quality — Claude Code reads documentation to generate correct integrations</w:t>
      </w:r>
    </w:p>
    <w:p>
      <w:pPr>
        <w:pStyle w:val="ListParagraph"/>
        <w:numPr>
          <w:ilvl w:val="0"/>
          <w:numId w:val="2"/>
        </w:numPr>
        <w:spacing w:before="40" w:after="40"/>
      </w:pPr>
      <w:r>
        <w:rPr>
          <w:rFonts w:ascii="Arial" w:cs="Arial" w:eastAsia="Arial" w:hAnsi="Arial"/>
          <w:color w:val="111827"/>
          <w:sz w:val="20"/>
          <w:szCs w:val="20"/>
        </w:rPr>
        <w:t xml:space="preserve">Community health — active maintenance, real production deployments, responsive issue resolution</w:t>
      </w:r>
    </w:p>
    <w:p>
      <w:pPr>
        <w:pStyle w:val="ListParagraph"/>
        <w:numPr>
          <w:ilvl w:val="0"/>
          <w:numId w:val="2"/>
        </w:numPr>
        <w:spacing w:before="40" w:after="40"/>
      </w:pPr>
      <w:r>
        <w:rPr>
          <w:rFonts w:ascii="Arial" w:cs="Arial" w:eastAsia="Arial" w:hAnsi="Arial"/>
          <w:color w:val="111827"/>
          <w:sz w:val="20"/>
          <w:szCs w:val="20"/>
        </w:rPr>
        <w:t xml:space="preserve">Managed service equivalent — a clear path from self-hosted MVP to managed cloud service in production</w:t>
      </w:r>
    </w:p>
    <w:p>
      <w:pPr>
        <w:pStyle w:val="ListParagraph"/>
        <w:numPr>
          <w:ilvl w:val="0"/>
          <w:numId w:val="2"/>
        </w:numPr>
        <w:spacing w:before="40" w:after="40"/>
      </w:pPr>
      <w:r>
        <w:rPr>
          <w:rFonts w:ascii="Arial" w:cs="Arial" w:eastAsia="Arial" w:hAnsi="Arial"/>
          <w:color w:val="111827"/>
          <w:sz w:val="20"/>
          <w:szCs w:val="20"/>
        </w:rPr>
        <w:t xml:space="preserve">License compatibility — Apache 2.0 or MIT preferred; AGPL evaluated case by case for SaaS implications</w:t>
      </w:r>
    </w:p>
    <w:p>
      <w:pPr>
        <w:pStyle w:val="ListParagraph"/>
        <w:numPr>
          <w:ilvl w:val="0"/>
          <w:numId w:val="2"/>
        </w:numPr>
        <w:spacing w:before="40" w:after="40"/>
      </w:pPr>
      <w:r>
        <w:rPr>
          <w:rFonts w:ascii="Arial" w:cs="Arial" w:eastAsia="Arial" w:hAnsi="Arial"/>
          <w:color w:val="111827"/>
          <w:sz w:val="20"/>
          <w:szCs w:val="20"/>
        </w:rPr>
        <w:t xml:space="preserve">Claude Code familiarity — projects with large open source codebases that appear frequently in training data</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Component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200"/>
        <w:gridCol w:w="25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9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MVP Choice</w:t>
            </w:r>
          </w:p>
        </w:tc>
        <w:tc>
          <w:tcPr>
            <w:tcW w:type="dxa" w:w="19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Production Upgrade</w:t>
            </w:r>
          </w:p>
        </w:tc>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License</w:t>
            </w:r>
          </w:p>
        </w:tc>
        <w:tc>
          <w:tcPr>
            <w:tcW w:type="dxa" w:w="2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Graph Database</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Community (self-hosted)</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AuraDB or Amazon Neptune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GPL2 / Enterprise</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Best-documented graph DB. OpenCypher query language. Excellent Claude Code familiarity. AuraDB is managed Neo4j — zero migration cost.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Relational Database</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PostgreSQL 16 (self-hosted)</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RDS PostgreSQL or Aurora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PostgreSQL (permissive)</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The gold standard. Handles control plane state, user/org model, access grants, audit logs. Claude Code knows Postgres deeply.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Message Broker / Event Streaming</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Apache Kafka (via Redpanda for MVP)</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MSK or Confluent Cloud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is Kafka-compatible but Rust-based — dramatically lower operational overhead for MVP. Same API, same client libraries.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Engine</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 Policy Agent (OPA)</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OPA remains — scale via Styra DAS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Industry standard. Rego language is well-documented. Hot-reloadable policies via bundle API. Large Claude Code training corpus.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Search / Semantic Index</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Elasticsearch (via OpenSearch for MVP)</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OpenSearch Service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OpenSearch is AWS-maintained fork. Powers marketplace search and semantic product discovery. Well-documented vector search via k-NN plugin.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Vector Embeddings (Semantic Search)</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(self-hosted)</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Bedrock Embeddings or OpenAI</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For semantic data product discovery by agents. Self-hosted on MVP; managed embeddings API in 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Identity / Auth</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(self-hosted)</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remains or Auth0/Okta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Full OIDC and SAML 2.0. Open source. Large deployment base. Production upgrade path to managed IDaaS if desired.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API Gateway</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Kong (OSS)</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Kong Gateway or AWS API GW</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Rate limiting, auth, routing. Well-documented plugin ecosystem. Claude Code familiar.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Event Schema</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OpenLineage (specification + client libs)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OpenLineage remains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Industry standard. Marquez is the OpenLineage reference server — integrate or replace with native graph store.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Container Orchestration</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Docker Compose (MVP) → k3s</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EKS or GKE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Docker Compose for single-node MVP development. k3s for lightweight Kubernetes when scale demands it. EKS/GKE for production.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Object Storage (metadata artifacts)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MinIO (self-hosted)</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S3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AGPL3 / Apache 2.0</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S3-compatible API. Policy artifacts, schema exports, audit exports. Zero migration to S3 in production.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Stack</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Grafana + Prometheus + Loki</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Grafana Cloud or Datadog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Apache 2.0</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Platform operational monitoring. Not the data product observability layer — that is built custom.</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Frontend Framework</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 TypeScript + Vite</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Same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MIT</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Industry standard. Claude Code is exceptionally strong here. TailwindCSS for styling.</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API Layer</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FastAPI (Python) or NestJS (TypeScript)</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Same, scaled horizontally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MIT</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FastAPI for Python-first; NestJS for TypeScript-first. Both are Claude Code strengths. Decision below.</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Server Implementation</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TypeScript MCP SDK (official)</w:t>
            </w:r>
          </w:p>
        </w:tc>
        <w:tc>
          <w:tcPr>
            <w:tcW w:type="dxa" w:w="19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Same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MIT</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The official Anthropic MCP TypeScript SDK is the reference implementation. Use it natively.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Workflow Orchestration</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(self-hosted)</w:t>
            </w:r>
          </w:p>
        </w:tc>
        <w:tc>
          <w:tcPr>
            <w:tcW w:type="dxa" w:w="19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Cloud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MIT</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For long-running governance workflows — deprecation notice periods, grace period timers, exception expiry. Battle-tested durable execution.</w:t>
            </w:r>
          </w:p>
        </w:tc>
      </w:tr>
    </w:tbl>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r>
              <w:rPr>
                <w:rFonts w:ascii="Arial" w:cs="Arial" w:eastAsia="Arial" w:hAnsi="Arial"/>
                <w:color w:val="D97706"/>
                <w:sz w:val="20"/>
                <w:szCs w:val="20"/>
              </w:rPr>
              <w:t xml:space="preserve">On AGPL and SaaS: MinIO uses AGPL3. For a SaaS platform that does not distribute MinIO itself, AGPL obligations are generally not triggered — but consult legal counsel. The production upgrade to Amazon S3 eliminates this concern entirely and is recommended before first enterprise customer.</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Language Stack Decision</w:t>
      </w:r>
    </w:p>
    <w:p>
      <w:pPr>
        <w:spacing w:before="60" w:after="80"/>
      </w:pPr>
      <w:r>
        <w:rPr>
          <w:rFonts w:ascii="Arial" w:cs="Arial" w:eastAsia="Arial" w:hAnsi="Arial"/>
          <w:color w:val="111827"/>
          <w:sz w:val="20"/>
          <w:szCs w:val="20"/>
        </w:rPr>
        <w:t xml:space="preserve">Given Claude Code as the engineering team, the language choice is not about team preference — it is about where Claude Code is most effective and where the open source ecosystem is strongest for this domain.</w:t>
      </w:r>
    </w:p>
    <w:p>
      <w:pPr>
        <w:spacing w:before="80" w:after="120"/>
      </w:pPr>
      <w:r>
        <w:t xml:space="preserve"/>
      </w:r>
    </w:p>
    <w:p>
      <w:pPr>
        <w:spacing w:before="60" w:after="80"/>
      </w:pPr>
      <w:r>
        <w:rPr>
          <w:rFonts w:ascii="Arial" w:cs="Arial" w:eastAsia="Arial" w:hAnsi="Arial"/>
          <w:color w:val="111827"/>
          <w:sz w:val="20"/>
          <w:szCs w:val="20"/>
        </w:rPr>
        <w:t xml:space="preserve">Recommendation: TypeScript as the primary language across the full stack, with Python for ML/embedding workloads only.</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Language</w:t>
            </w:r>
          </w:p>
        </w:tc>
        <w:tc>
          <w:tcPr>
            <w:tcW w:type="dxa" w:w="5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Control Plane API</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TypeScript / NestJS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Strong typing, decorator-based architecture maps well to domain model. Claude Code is exceptionally strong in NestJS.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TypeScript / NestJS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MCP SDK is TypeScript-native. Co-language with control plane reduces context switching for Claude Code.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TypeScript / NestJS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policy evaluation via REST API — language-agnostic. TypeScript handles the orchestration layer.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API</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TypeScript / NestJS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High-throughput event ingestion — NestJS with async event handling performs well.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Frontend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TypeScript / React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Code is strongest in React/TypeScript. Shared types with backend via monorepo.</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Embedding Service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Python / FastAPI</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is Python-native. Isolated service with a clean REST interface keeps Python contained.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SDK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Python + TypeScript + Java</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Multi-language SDKs built against the same OpenAPI spec. Claude Code generates client SDKs from specs effectively.</w:t>
            </w:r>
          </w:p>
        </w:tc>
      </w:tr>
    </w:tbl>
    <w:p>
      <w:pPr>
        <w:pageBreakBefore/>
        <w:spacing w:before="0" w:after="60"/>
      </w:pPr>
      <w:r>
        <w:rPr>
          <w:rFonts w:ascii="Arial" w:cs="Arial" w:eastAsia="Arial" w:hAnsi="Arial"/>
          <w:b/>
          <w:bCs/>
          <w:color w:val="00A9A5"/>
          <w:sz w:val="20"/>
          <w:szCs w:val="20"/>
        </w:rPr>
        <w:t xml:space="preserve">Section 3</w:t>
      </w:r>
    </w:p>
    <w:p>
      <w:pPr>
        <w:pStyle w:val="Heading1"/>
        <w:spacing w:before="0" w:after="160"/>
      </w:pPr>
      <w:r>
        <w:rPr>
          <w:rFonts w:ascii="Arial" w:cs="Arial" w:eastAsia="Arial" w:hAnsi="Arial"/>
          <w:b/>
          <w:bCs/>
          <w:color w:val="1B3A6B"/>
          <w:sz w:val="36"/>
          <w:szCs w:val="36"/>
        </w:rPr>
        <w:t xml:space="preserve">MVP Architecture</w:t>
      </w:r>
    </w:p>
    <w:p>
      <w:pPr>
        <w:spacing w:before="0" w:after="200"/>
      </w:pPr>
      <w:r>
        <w:rPr>
          <w:rFonts w:ascii="Arial" w:cs="Arial" w:eastAsia="Arial" w:hAnsi="Arial"/>
          <w:i/>
          <w:iCs/>
          <w:color w:val="6B7280"/>
          <w:sz w:val="20"/>
          <w:szCs w:val="20"/>
        </w:rPr>
        <w:t xml:space="preserve">A production-structured, startup-budgeted architecture that runs on approximately $300–800/month and scales to the first 10–20 design partner organizations</w:t>
      </w:r>
    </w:p>
    <w:p>
      <w:pPr>
        <w:pBdr>
          <w:bottom w:val="single" w:color="2E75B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60"/>
              <w:left w:type="dxa" w:w="240"/>
              <w:bottom w:type="dxa" w:w="160"/>
              <w:right w:type="dxa" w:w="240"/>
            </w:tcMar>
          </w:tcPr>
          <w:p>
            <w:r>
              <w:rPr>
                <w:rFonts w:ascii="Arial" w:cs="Arial" w:eastAsia="Arial" w:hAnsi="Arial"/>
                <w:color w:val="16A34A"/>
                <w:sz w:val="20"/>
                <w:szCs w:val="20"/>
              </w:rPr>
              <w:t xml:space="preserve">MVP Budget Target: $300–800/month all-in cloud infrastructure. This is achievable by running all services on a single mid-sized cloud instance for the first phase, then splitting to two instances as load demands. The architecture is identical to production — only the deployment topology differs.</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Hosting Strategy</w:t>
      </w:r>
    </w:p>
    <w:p>
      <w:pPr>
        <w:spacing w:before="60" w:after="80"/>
      </w:pPr>
      <w:r>
        <w:rPr>
          <w:rFonts w:ascii="Arial" w:cs="Arial" w:eastAsia="Arial" w:hAnsi="Arial"/>
          <w:color w:val="111827"/>
          <w:sz w:val="20"/>
          <w:szCs w:val="20"/>
        </w:rPr>
        <w:t xml:space="preserve">The most cost-effective MVP hosting path for a SaaS platform of this nature is a lean AWS setup — not because AWS is cheapest in isolation, but because it offers the most mature managed service upgrade path when you need it, and the free tier / startup credits program (AWS Activate) can fund 12+ months of MVP infrastructure.</w:t>
      </w:r>
    </w:p>
    <w:p>
      <w:pPr>
        <w:spacing w:before="80" w:after="120"/>
      </w:pPr>
      <w:r>
        <w:t xml:space="preserve"/>
      </w:r>
    </w:p>
    <w:p>
      <w:pPr>
        <w:spacing w:before="60" w:after="80"/>
      </w:pPr>
      <w:r>
        <w:rPr>
          <w:rFonts w:ascii="Arial" w:cs="Arial" w:eastAsia="Arial" w:hAnsi="Arial"/>
          <w:color w:val="111827"/>
          <w:sz w:val="20"/>
          <w:szCs w:val="20"/>
        </w:rPr>
        <w:t xml:space="preserve">Alternative: Render or Railway for the application layer with PlanetScale for the database. This is even cheaper and faster to start but has a more limited upgrade path. Recommended only if AWS Activate credits are unavailable.</w:t>
      </w:r>
    </w:p>
    <w:p>
      <w:pPr>
        <w:spacing w:before="120" w:after="120"/>
      </w:pPr>
      <w:r>
        <w:t xml:space="preserve"/>
      </w:r>
    </w:p>
    <w:p>
      <w:pPr>
        <w:pStyle w:val="Heading2"/>
        <w:spacing w:before="320" w:after="160"/>
      </w:pPr>
      <w:r>
        <w:rPr>
          <w:rFonts w:ascii="Arial" w:cs="Arial" w:eastAsia="Arial" w:hAnsi="Arial"/>
          <w:b/>
          <w:bCs/>
          <w:color w:val="2E75B6"/>
          <w:sz w:val="26"/>
          <w:szCs w:val="26"/>
        </w:rPr>
        <w:t xml:space="preserve">MVP Infrastructure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Resource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Cost (est.)</w:t>
            </w:r>
          </w:p>
        </w:tc>
        <w:tc>
          <w:tcPr>
            <w:tcW w:type="dxa" w:w="3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EC2 t3.xlarge (x1)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4 vCPU, 16GB RAM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~$120</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Runs: NestJS services (monolith deployment), Neo4j Community, PostgreSQL, Redpanda (Kafka), OPA, OpenSearch single-node, Keycloak, MinIO, Temporal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EC2 t3.medium (x1)</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 vCPU, 8GB RAM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~$35</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Runs: React frontend (Nginx), Kong API Gateway, Grafana + Prometheus, Embedding service (Python)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Elastic IP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Static IP for API Gateway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~$4</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Stable ingress endpoint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Route 53</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DNS + SSL (via ACM)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~$5</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routing and HTTPS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S3 bucket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artifacts, exports, audit logs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~$5</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Overflow from MinIO when data grows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CloudWatch Logs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Log aggregation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~$10</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Operational visibility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transfer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Outbound traffic</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~$20</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Consumer-facing API responses</w:t>
            </w:r>
          </w:p>
        </w:tc>
      </w:tr>
      <w:tr>
        <w:tc>
          <w:tcPr>
            <w:tcW w:type="dxa" w:w="24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top"/>
          </w:tcPr>
          <w:p>
            <w:r>
              <w:rPr>
                <w:rFonts w:ascii="Arial" w:cs="Arial" w:eastAsia="Arial" w:hAnsi="Arial"/>
                <w:color w:val="111827"/>
                <w:sz w:val="18"/>
                <w:szCs w:val="18"/>
              </w:rPr>
              <w:t xml:space="preserve">AWS Activate credits</w:t>
            </w:r>
          </w:p>
        </w:tc>
        <w:tc>
          <w:tcPr>
            <w:tcW w:type="dxa" w:w="22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top"/>
          </w:tcPr>
          <w:p>
            <w:r>
              <w:rPr>
                <w:rFonts w:ascii="Arial" w:cs="Arial" w:eastAsia="Arial" w:hAnsi="Arial"/>
                <w:color w:val="111827"/>
                <w:sz w:val="18"/>
                <w:szCs w:val="18"/>
              </w:rPr>
              <w:t xml:space="preserve">Startup program — apply immediately</w:t>
            </w:r>
          </w:p>
        </w:tc>
        <w:tc>
          <w:tcPr>
            <w:tcW w:type="dxa" w:w="16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top"/>
          </w:tcPr>
          <w:p>
            <w:r>
              <w:rPr>
                <w:rFonts w:ascii="Arial" w:cs="Arial" w:eastAsia="Arial" w:hAnsi="Arial"/>
                <w:color w:val="111827"/>
                <w:sz w:val="18"/>
                <w:szCs w:val="18"/>
              </w:rPr>
              <w:t xml:space="preserve">Up to -$100K</w:t>
            </w:r>
          </w:p>
        </w:tc>
        <w:tc>
          <w:tcPr>
            <w:tcW w:type="dxa" w:w="316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top"/>
          </w:tcPr>
          <w:p>
            <w:r>
              <w:rPr>
                <w:rFonts w:ascii="Arial" w:cs="Arial" w:eastAsia="Arial" w:hAnsi="Arial"/>
                <w:color w:val="111827"/>
                <w:sz w:val="18"/>
                <w:szCs w:val="18"/>
              </w:rPr>
              <w:t xml:space="preserve">Can fund entire MVP infrastructure for 12–24 months</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Total estimated cost without credits: $200–350/month. With AWS Activate credits (highly recommended — apply at aws.amazon.com/activate): effectively $0 for the first year.</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MVP Service Architecture</w:t>
      </w:r>
    </w:p>
    <w:p>
      <w:pPr>
        <w:spacing w:before="60" w:after="80"/>
      </w:pPr>
      <w:r>
        <w:rPr>
          <w:rFonts w:ascii="Arial" w:cs="Arial" w:eastAsia="Arial" w:hAnsi="Arial"/>
          <w:color w:val="111827"/>
          <w:sz w:val="20"/>
          <w:szCs w:val="20"/>
        </w:rPr>
        <w:t xml:space="preserve">For MVP, all NestJS backend services are deployed as modules within a single NestJS monolith — sharing a process but maintaining strict module boundaries. This is the monolith-with-module-boundaries pattern, also called a 'modular monolith'. It is significantly cheaper to operate than microservices while being architecturally identical to the microservices target.</w:t>
      </w:r>
    </w:p>
    <w:p>
      <w:pPr>
        <w:spacing w:before="80" w:after="120"/>
      </w:pPr>
      <w:r>
        <w:t xml:space="preserve"/>
      </w:r>
    </w:p>
    <w:p>
      <w:pPr>
        <w:spacing w:before="60" w:after="80"/>
      </w:pPr>
      <w:r>
        <w:rPr>
          <w:rFonts w:ascii="Arial" w:cs="Arial" w:eastAsia="Arial" w:hAnsi="Arial"/>
          <w:color w:val="111827"/>
          <w:sz w:val="20"/>
          <w:szCs w:val="20"/>
        </w:rPr>
        <w:t xml:space="preserve">The module boundaries defined in the MVP monolith become the service boundaries when you split to microservices in production. Claude Code is well-suited to this refactor because the interfaces are already clean.</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MVP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 Service</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MVP Deployment</w:t>
            </w:r>
          </w:p>
        </w:tc>
        <w:tc>
          <w:tcPr>
            <w:tcW w:type="dxa" w:w="3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 API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Tenant management, domain CRUD, principal management, role assignment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API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Product definition validation, lifecycle state management, port registration, versioning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API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Connector registration, credential reference management, schema inference, health monitoring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Module + OPA</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Monolith + sidecar OPA</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authoring, effective policy computation, publication-time enforcement, continuous monitoring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API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event ingestion, graph writes, declared lineage registration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API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metric ingestion, SLO evaluation, trust score computation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Access Control API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Module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Access grant management, approval workflows, consumer-product relationships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Separate NestJS service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Separate process on same EC2</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query federation, MCP server, agent identity verification, dynamic policy evaluation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Embedding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FastAPI (Python)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Separate process on t3.medium</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Vector embedding generation for semantic index, product discovery embedding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Frontend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React + Vite + Nginx</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t3.medium</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four persona UI surfaces served as static SPA</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Community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Database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graph storage and querying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PostgreSQL 16</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Database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Control plane state: orgs, domains, products, users, grants, audit log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Message broker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event ingestion buffer, async governance event propagation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OpenSearch</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Search</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Product discovery index, semantic vector search</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runtime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Sidecar on same EC2</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bundle evaluation, hot reload on policy publish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OIDC/SAML federation, token issuance, principal management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MinIO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Object storage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artifacts, schema exports, audit exports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Workflow engine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Same EC2 as monolith</w:t>
            </w:r>
          </w:p>
        </w:tc>
        <w:tc>
          <w:tcPr>
            <w:tcW w:type="dxa" w:w="3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Grace period timers, deprecation workflows, exception expiry, access approval workflows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Kong OSS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API Gateway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t3.medium</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Rate limiting, auth token verification, routing to monolith and agent layer</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Data Architecture</w:t>
      </w:r>
    </w:p>
    <w:p>
      <w:pPr>
        <w:pStyle w:val="Heading3"/>
        <w:spacing w:before="240" w:after="120"/>
      </w:pPr>
      <w:r>
        <w:rPr>
          <w:rFonts w:ascii="Arial" w:cs="Arial" w:eastAsia="Arial" w:hAnsi="Arial"/>
          <w:b/>
          <w:bCs/>
          <w:color w:val="00A9A5"/>
          <w:sz w:val="22"/>
          <w:szCs w:val="22"/>
        </w:rPr>
        <w:t xml:space="preserve">PostgreSQL — Control Plane State</w:t>
      </w:r>
    </w:p>
    <w:p>
      <w:pPr>
        <w:spacing w:before="60" w:after="80"/>
      </w:pPr>
      <w:r>
        <w:rPr>
          <w:rFonts w:ascii="Arial" w:cs="Arial" w:eastAsia="Arial" w:hAnsi="Arial"/>
          <w:color w:val="111827"/>
          <w:sz w:val="20"/>
          <w:szCs w:val="20"/>
        </w:rPr>
        <w:t xml:space="preserve">PostgreSQL is the source of truth for all control plane entities. The schema follows the domain model from the PRD directly.</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Schema</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Tables</w:t>
            </w:r>
          </w:p>
        </w:tc>
        <w:tc>
          <w:tcPr>
            <w:tcW w:type="dxa" w:w="4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orgs, domains, domain_extensions, governance_configs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Top-level tenant isolation via org_id on all tables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principals, roles, role_assignments, agent_identities, agent_trust_classifications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 is the auth source; PostgreSQL stores platform-specific identity metadata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products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data_products, product_versions, port_declarations, port_contracts, lifecycle_events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Core product registry. Versions stored as immutable records.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connectors, connector_health_events, source_registrations, schema_snapshots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metadata. Credentials referenced by external secrets ARN only.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policy_schemas, policy_versions, effective_policies, compliance_states, exceptions, grace_periods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artifacts stored as JSONB. OPA bundles generated from these records.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access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access_grants, access_requests, approval_events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Consumer-product access relationships with expiration tracking.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slo_declarations, slo_evaluations, trust_score_history, observability_snapshots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Time-series observability data. Partitioned by org_id and time.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audit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audit_log</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Append-only. Row-level security. Never updated or deleted. Partitioned by month.</w:t>
            </w:r>
          </w:p>
        </w:tc>
      </w:tr>
    </w:tbl>
    <w:p>
      <w:pPr>
        <w:spacing w:before="120" w:after="120"/>
      </w:pPr>
      <w:r>
        <w:t xml:space="preserve"/>
      </w:r>
    </w:p>
    <w:p>
      <w:pPr>
        <w:pStyle w:val="Heading3"/>
        <w:spacing w:before="240" w:after="120"/>
      </w:pPr>
      <w:r>
        <w:rPr>
          <w:rFonts w:ascii="Arial" w:cs="Arial" w:eastAsia="Arial" w:hAnsi="Arial"/>
          <w:b/>
          <w:bCs/>
          <w:color w:val="00A9A5"/>
          <w:sz w:val="22"/>
          <w:szCs w:val="22"/>
        </w:rPr>
        <w:t xml:space="preserve">Neo4j — Lineage Graph</w:t>
      </w:r>
    </w:p>
    <w:p>
      <w:pPr>
        <w:spacing w:before="60" w:after="80"/>
      </w:pPr>
      <w:r>
        <w:rPr>
          <w:rFonts w:ascii="Arial" w:cs="Arial" w:eastAsia="Arial" w:hAnsi="Arial"/>
          <w:color w:val="111827"/>
          <w:sz w:val="20"/>
          <w:szCs w:val="20"/>
        </w:rPr>
        <w:t xml:space="preserve">Neo4j stores the lineage graph. All six node types and five edge types from F5.2 and F5.3 are native graph constructs — not simulated in a relational schema.</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Node Label</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Properties</w:t>
            </w:r>
          </w:p>
        </w:tc>
        <w:tc>
          <w:tcPr>
            <w:tcW w:type="dxa" w:w="4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SourceNode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org_id, connector_id, source_ref, created_at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One per registered external source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DataProductNode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org_id, product_id, version, domain_id, trust_score, compliance_state</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Updated on every product state change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PortNode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org_id, product_id, port_type, port_id, contract_hash</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One per declared port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TransformationNode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org_id, transformation_id, pipeline_ref, principal_id</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Emitted by pipelines via lineage emission API</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AgentNode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org_id, agent_id, model_id, model_version, reasoning_trace_ref, non_deterministic:true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Distinct from TransformationNode. Carries model provenance.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ConsumerNode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org_id, principal_id, principal_type, access_grant_id</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One per access grant</w:t>
            </w:r>
          </w:p>
        </w:tc>
      </w:tr>
    </w:tbl>
    <w:p>
      <w:pPr>
        <w:spacing w:before="80" w:after="120"/>
      </w:pPr>
      <w:r>
        <w:t xml:space="preserve"/>
      </w:r>
    </w:p>
    <w:p>
      <w:pPr>
        <w:spacing w:before="60" w:after="80"/>
      </w:pPr>
      <w:r>
        <w:rPr>
          <w:rFonts w:ascii="Arial" w:cs="Arial" w:eastAsia="Arial" w:hAnsi="Arial"/>
          <w:color w:val="111827"/>
          <w:sz w:val="20"/>
          <w:szCs w:val="20"/>
        </w:rPr>
        <w:t xml:space="preserve">Cypher query examples for key lineage operations:</w:t>
      </w:r>
    </w:p>
    <w:p>
      <w:pPr>
        <w:spacing w:before="40" w:after="120"/>
      </w:pPr>
      <w:r>
        <w:t xml:space="preserve"/>
      </w:r>
    </w:p>
    <w:p>
      <w:pPr>
        <w:shd w:fill="F3F4F6" w:val="clear"/>
        <w:spacing w:before="80" w:after="120"/>
        <w:ind w:left="360"/>
      </w:pPr>
      <w:r>
        <w:rPr>
          <w:rFonts w:ascii="Courier New" w:cs="Courier New" w:eastAsia="Courier New" w:hAnsi="Courier New"/>
          <w:color w:val="1B3A6B"/>
          <w:sz w:val="16"/>
          <w:szCs w:val="16"/>
        </w:rPr>
        <w:t xml:space="preserve">// Upstream traversal to arbitrary depth
MATCH path = (p:DataProductNode {product_id: $id})&lt;-[:DERIVES_FROM*]-(upstream)
RETURN path
// Impact analysis — all downstream products
MATCH path = (p:DataProductNode {product_id: $id})-[:DERIVES_FROM*]-&gt;(downstream)
RETURN downstream.product_id, downstream.domain_id, length(path) as depth
// Agent provenance chain
MATCH (p:DataProductNode)-[:TRANSFORMS]-(a:AgentNode)
WHERE p.product_id = $id AND a.non_deterministic = true
RETURN a.agent_id, a.model_id, a.model_version, a.reasoning_trace_ref</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Redpanda — Event Topics</w:t>
      </w:r>
    </w:p>
    <w:p>
      <w:pPr>
        <w:spacing w:before="60" w:after="80"/>
      </w:pPr>
      <w:r>
        <w:rPr>
          <w:rFonts w:ascii="Arial" w:cs="Arial" w:eastAsia="Arial" w:hAnsi="Arial"/>
          <w:color w:val="111827"/>
          <w:sz w:val="20"/>
          <w:szCs w:val="20"/>
        </w:rPr>
        <w:t xml:space="preserve">Redpanda (Kafka-compatible) handles all async event flows. Topic naming follows {org_id}.{event_type} partitioning for tenant isolation.</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Producers</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Consumers</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Retention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lineage.emission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Domain pipelines via Lineage API</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API (graph writer), Audit log</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7 days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observability.emission</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pipelines via Observability API</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API (metric writer), SLO evaluator</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24 hours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governance.events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Notification service, Compliance monitor, Temporal workflows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30 days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product.lifecycle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API</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Notification service, Access Control API, Semantic indexer</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30 days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agent.activity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Anomaly detector, Audit log, Human oversight notifier</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7 days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connector.health</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health monitor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API, Notification service</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24 hours</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API Architecture</w:t>
      </w:r>
    </w:p>
    <w:p>
      <w:pPr>
        <w:pStyle w:val="Heading3"/>
        <w:spacing w:before="240" w:after="120"/>
      </w:pPr>
      <w:r>
        <w:rPr>
          <w:rFonts w:ascii="Arial" w:cs="Arial" w:eastAsia="Arial" w:hAnsi="Arial"/>
          <w:b/>
          <w:bCs/>
          <w:color w:val="00A9A5"/>
          <w:sz w:val="22"/>
          <w:szCs w:val="22"/>
        </w:rPr>
        <w:t xml:space="preserve">API Design Principles</w:t>
      </w:r>
    </w:p>
    <w:p>
      <w:pPr>
        <w:pStyle w:val="ListParagraph"/>
        <w:numPr>
          <w:ilvl w:val="0"/>
          <w:numId w:val="2"/>
        </w:numPr>
        <w:spacing w:before="40" w:after="40"/>
      </w:pPr>
      <w:r>
        <w:rPr>
          <w:rFonts w:ascii="Arial" w:cs="Arial" w:eastAsia="Arial" w:hAnsi="Arial"/>
          <w:color w:val="111827"/>
          <w:sz w:val="20"/>
          <w:szCs w:val="20"/>
        </w:rPr>
        <w:t xml:space="preserve">OpenAPI 3.1 spec-first — define the spec, generate the client SDKs, validate the implementation against the spec</w:t>
      </w:r>
    </w:p>
    <w:p>
      <w:pPr>
        <w:pStyle w:val="ListParagraph"/>
        <w:numPr>
          <w:ilvl w:val="0"/>
          <w:numId w:val="2"/>
        </w:numPr>
        <w:spacing w:before="40" w:after="40"/>
      </w:pPr>
      <w:r>
        <w:rPr>
          <w:rFonts w:ascii="Arial" w:cs="Arial" w:eastAsia="Arial" w:hAnsi="Arial"/>
          <w:color w:val="111827"/>
          <w:sz w:val="20"/>
          <w:szCs w:val="20"/>
        </w:rPr>
        <w:t xml:space="preserve">REST for synchronous control plane operations — CRUD, lifecycle transitions, access grants</w:t>
      </w:r>
    </w:p>
    <w:p>
      <w:pPr>
        <w:pStyle w:val="ListParagraph"/>
        <w:numPr>
          <w:ilvl w:val="0"/>
          <w:numId w:val="2"/>
        </w:numPr>
        <w:spacing w:before="40" w:after="40"/>
      </w:pPr>
      <w:r>
        <w:rPr>
          <w:rFonts w:ascii="Arial" w:cs="Arial" w:eastAsia="Arial" w:hAnsi="Arial"/>
          <w:color w:val="111827"/>
          <w:sz w:val="20"/>
          <w:szCs w:val="20"/>
        </w:rPr>
        <w:t xml:space="preserve">WebSocket for real-time UI updates — compliance state changes, trust score updates, notification feed</w:t>
      </w:r>
    </w:p>
    <w:p>
      <w:pPr>
        <w:pStyle w:val="ListParagraph"/>
        <w:numPr>
          <w:ilvl w:val="0"/>
          <w:numId w:val="2"/>
        </w:numPr>
        <w:spacing w:before="40" w:after="40"/>
      </w:pPr>
      <w:r>
        <w:rPr>
          <w:rFonts w:ascii="Arial" w:cs="Arial" w:eastAsia="Arial" w:hAnsi="Arial"/>
          <w:color w:val="111827"/>
          <w:sz w:val="20"/>
          <w:szCs w:val="20"/>
        </w:rPr>
        <w:t xml:space="preserve">GraphQL for agent schema exploration (F6.27) — schema-first, introspectable</w:t>
      </w:r>
    </w:p>
    <w:p>
      <w:pPr>
        <w:pStyle w:val="ListParagraph"/>
        <w:numPr>
          <w:ilvl w:val="0"/>
          <w:numId w:val="2"/>
        </w:numPr>
        <w:spacing w:before="40" w:after="40"/>
      </w:pPr>
      <w:r>
        <w:rPr>
          <w:rFonts w:ascii="Arial" w:cs="Arial" w:eastAsia="Arial" w:hAnsi="Arial"/>
          <w:color w:val="111827"/>
          <w:sz w:val="20"/>
          <w:szCs w:val="20"/>
        </w:rPr>
        <w:t xml:space="preserve">MCP protocol for agent primary interface (F6.14) — native TypeScript MCP SDK implementation</w:t>
      </w:r>
    </w:p>
    <w:p>
      <w:pPr>
        <w:pStyle w:val="ListParagraph"/>
        <w:numPr>
          <w:ilvl w:val="0"/>
          <w:numId w:val="2"/>
        </w:numPr>
        <w:spacing w:before="40" w:after="40"/>
      </w:pPr>
      <w:r>
        <w:rPr>
          <w:rFonts w:ascii="Arial" w:cs="Arial" w:eastAsia="Arial" w:hAnsi="Arial"/>
          <w:color w:val="111827"/>
          <w:sz w:val="20"/>
          <w:szCs w:val="20"/>
        </w:rPr>
        <w:t xml:space="preserve">Server-Sent Events for lineage emission SDK — streaming lineage events from pipelines</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API Gateway Routing (Kong)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 Prefix</w:t>
            </w:r>
          </w:p>
        </w:tc>
        <w:tc>
          <w:tcPr>
            <w:tcW w:type="dxa" w:w="2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Method</w:t>
            </w:r>
          </w:p>
        </w:tc>
        <w:tc>
          <w:tcPr>
            <w:tcW w:type="dxa" w:w="2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Rate Limit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/api/v1/</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Monolith (control plane)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JWT (Keycloak)</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1000 req/min per principal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/agent/v1/</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 (NestJS)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JWT + scope validation</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Configurable per agent grant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/mcp/v1/</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Server (Agent Query Layer)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auth (Bearer token)</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Per agent grant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/lineage/emit</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API (NestJS)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Service account JWT</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10,000 events/sec per org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/observability/emit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API (NestJS)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Service account JWT</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5,000 events/sec per org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/auth/</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Public (auth endpoints)</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Anti-brute-force: 10 req/min</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Governance Engine Architecture</w:t>
      </w:r>
    </w:p>
    <w:p>
      <w:pPr>
        <w:spacing w:before="60" w:after="80"/>
      </w:pPr>
      <w:r>
        <w:rPr>
          <w:rFonts w:ascii="Arial" w:cs="Arial" w:eastAsia="Arial" w:hAnsi="Arial"/>
          <w:color w:val="111827"/>
          <w:sz w:val="20"/>
          <w:szCs w:val="20"/>
        </w:rPr>
        <w:t xml:space="preserve">The governance engine is the most novel component. It combines a declarative UI authoring layer (in the React frontend), a policy compilation layer (in the Governance Engine NestJS module), and a policy evaluation runtime (OPA).</w:t>
      </w:r>
    </w:p>
    <w:p>
      <w:pPr>
        <w:spacing w:before="80" w:after="120"/>
      </w:pPr>
      <w:r>
        <w:t xml:space="preserve"/>
      </w:r>
    </w:p>
    <w:p>
      <w:pPr>
        <w:pStyle w:val="Heading3"/>
        <w:spacing w:before="240" w:after="120"/>
      </w:pPr>
      <w:r>
        <w:rPr>
          <w:rFonts w:ascii="Arial" w:cs="Arial" w:eastAsia="Arial" w:hAnsi="Arial"/>
          <w:b/>
          <w:bCs/>
          <w:color w:val="00A9A5"/>
          <w:sz w:val="22"/>
          <w:szCs w:val="22"/>
        </w:rPr>
        <w:t xml:space="preserve">Policy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w:t>
            </w:r>
          </w:p>
        </w:tc>
        <w:tc>
          <w:tcPr>
            <w:tcW w:type="dxa" w:w="6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 Author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UI (Policy Authoring Studio)</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team builds rules via point-and-click UI. Rules stored as structured JSON in the browser state.</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 Preview</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 API</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Impact preview API evaluates proposed rules against current product catalog and returns affected product counts.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 Publish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 API</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Validated policy JSON written to PostgreSQL governance.policy_versions as immutable record. Grace period timer started in Temporal if breaking change.</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4. Compile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 (background)</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JSON compiled to OPA Rego bundle. Bundle pushed to OPA via bundle API. Hot reload — no restart required. Effective policy cache invalidated.</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5. Enforce (publication time)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API → OPA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On product publish, Data Product API calls OPA /v1/data/meshos/policy/allow with product definition and org context. OPA evaluates in &lt;10ms.</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6. Enforce (continuous)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Compliance Monitor (scheduled)</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workflow evaluates all published products against current OPA policy every 24 hours and on trigger events. Compliance state written to PostgreSQL and Neo4j.</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Agent Query Layer Architecture</w:t>
      </w:r>
    </w:p>
    <w:p>
      <w:pPr>
        <w:spacing w:before="60" w:after="80"/>
      </w:pPr>
      <w:r>
        <w:rPr>
          <w:rFonts w:ascii="Arial" w:cs="Arial" w:eastAsia="Arial" w:hAnsi="Arial"/>
          <w:color w:val="111827"/>
          <w:sz w:val="20"/>
          <w:szCs w:val="20"/>
        </w:rPr>
        <w:t xml:space="preserve">The Agent Query Layer is the only service deployed as a separate process in the MVP. This is because its performance profile, authentication model, and protocol requirements (MCP) are sufficiently different from the control plane to justify isolation even at MVP scale.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c>
          <w:tcPr>
            <w:tcW w:type="dxa" w:w="4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Server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TypeScript MCP SDK (@modelcontextprotocol/sdk)</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Exposes Resources (data products), Tools (search, query, lineage), and Prompts (common patterns). WebSocket transport for streaming.</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GraphQL API</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Apollo Server (TypeScript)</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Schema-first. Exposes data product schema exploration (F6.27). Type definitions generated from product definition OpenAPI spec.</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Natural Language Query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API (claude-sonnet-4-20250514)</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NL query translated to structured semantic query via LLM call. Structured query then executed against OpenSearch + Neo4j.</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Structured Semantic Query Engine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Custom NestJS service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Decomposes structured query into: OpenSearch product discovery, Neo4j lineage context retrieval, output port sub-queries.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Dynamic Policy Evaluator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client (HTTP)</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Before every query execution, evaluates agent access scope and governance policy via OPA. &lt;200ms overhead target.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Provenance Envelope Builder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Custom NestJS service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Assembles provenance envelope (F6.17) from query execution context. Writes consumer lineage event to Redpanda.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Anomaly Detector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Custom NestJS service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Sliding window query pattern analysis per agent identity. Threshold breach triggers Temporal workflow for escalation.</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MVP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Concern</w:t>
            </w:r>
          </w:p>
        </w:tc>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Approach</w:t>
            </w:r>
          </w:p>
        </w:tc>
        <w:tc>
          <w:tcPr>
            <w:tcW w:type="dxa" w:w="4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Tenant isolation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org_id column on all PostgreSQL tables + row-level security policies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Every query requires org_id context. RLS enforced at database level, not application level.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Authentication</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 OIDC + JWT</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API calls carry JWT. Kong validates JWT signature before routing. No credential reaches the application layer.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identity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Separate JWT claim: principal_type=agent + agent_id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tokens carry additional claims. Agent Query Layer validates agent-specific claims on every request.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Credential storage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AWS Secrets Manager ARN references only</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credentials stored as ARN reference strings. Application retrieves value at connection time via AWS SDK. Never logged, never cached longer than connection lifetime.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Audit log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PostgreSQL append-only table + row-level security</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 UPDATE or DELETE permissions on audit_log table at database level. Exported to S3 nightly.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in transit</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TLS 1.3 enforced at Kong</w:t>
            </w:r>
          </w:p>
        </w:tc>
        <w:tc>
          <w:tcPr>
            <w:tcW w:type="dxa" w:w="4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external traffic TLS-terminated at Kong. Internal traffic (same EC2) may be plaintext for MVP; mTLS added in production.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at rest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EC2 EBS encryption enabled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All EBS volumes encrypted at rest using AWS-managed keys. KMS customer-managed keys in production.</w:t>
            </w:r>
          </w:p>
        </w:tc>
      </w:tr>
    </w:tbl>
    <w:p>
      <w:pPr>
        <w:pageBreakBefore/>
        <w:spacing w:before="0" w:after="60"/>
      </w:pPr>
      <w:r>
        <w:rPr>
          <w:rFonts w:ascii="Arial" w:cs="Arial" w:eastAsia="Arial" w:hAnsi="Arial"/>
          <w:b/>
          <w:bCs/>
          <w:color w:val="00A9A5"/>
          <w:sz w:val="20"/>
          <w:szCs w:val="20"/>
        </w:rPr>
        <w:t xml:space="preserve">Section 4</w:t>
      </w:r>
    </w:p>
    <w:p>
      <w:pPr>
        <w:pStyle w:val="Heading1"/>
        <w:spacing w:before="0" w:after="160"/>
      </w:pPr>
      <w:r>
        <w:rPr>
          <w:rFonts w:ascii="Arial" w:cs="Arial" w:eastAsia="Arial" w:hAnsi="Arial"/>
          <w:b/>
          <w:bCs/>
          <w:color w:val="1B3A6B"/>
          <w:sz w:val="36"/>
          <w:szCs w:val="36"/>
        </w:rPr>
        <w:t xml:space="preserve">Production-Grade Architecture</w:t>
      </w:r>
    </w:p>
    <w:p>
      <w:pPr>
        <w:spacing w:before="0" w:after="200"/>
      </w:pPr>
      <w:r>
        <w:rPr>
          <w:rFonts w:ascii="Arial" w:cs="Arial" w:eastAsia="Arial" w:hAnsi="Arial"/>
          <w:i/>
          <w:iCs/>
          <w:color w:val="6B7280"/>
          <w:sz w:val="20"/>
          <w:szCs w:val="20"/>
        </w:rPr>
        <w:t xml:space="preserve">The target architecture for general availability — multi-region capable, managed services where appropriate, enterprise security posture, and designed for the scale targets in the PRD</w:t>
      </w:r>
    </w:p>
    <w:p>
      <w:pPr>
        <w:pBdr>
          <w:bottom w:val="single" w:color="2E75B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60"/>
              <w:left w:type="dxa" w:w="240"/>
              <w:bottom w:type="dxa" w:w="160"/>
              <w:right w:type="dxa" w:w="240"/>
            </w:tcMar>
          </w:tcPr>
          <w:p>
            <w:r>
              <w:rPr>
                <w:rFonts w:ascii="Arial" w:cs="Arial" w:eastAsia="Arial" w:hAnsi="Arial"/>
                <w:color w:val="1B3A6B"/>
                <w:sz w:val="20"/>
                <w:szCs w:val="20"/>
              </w:rPr>
              <w:t xml:space="preserve">The production architecture is the MVP architecture with three changes: (1) the monolith splits into independent microservices, (2) self-hosted databases and brokers are replaced with managed cloud services, and (3) deployment moves to Kubernetes with full observability. Every interface contract defined in the MVP remains unchanged.</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Production Hosting Architecture</w:t>
      </w:r>
    </w:p>
    <w:p>
      <w:pPr>
        <w:spacing w:before="60" w:after="80"/>
      </w:pPr>
      <w:r>
        <w:rPr>
          <w:rFonts w:ascii="Arial" w:cs="Arial" w:eastAsia="Arial" w:hAnsi="Arial"/>
          <w:color w:val="111827"/>
          <w:sz w:val="20"/>
          <w:szCs w:val="20"/>
        </w:rPr>
        <w:t xml:space="preserve">Production runs on AWS with EKS (Elastic Kubernetes Service) as the orchestration layer. The choice of AWS over GCP or Azure is driven by the managed service upgrade path from the MVP — every self-hosted component in the MVP has a direct AWS managed equivalent. No data migration required, only configuration changes.</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Production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Scale Configuration</w:t>
            </w:r>
          </w:p>
        </w:tc>
        <w:tc>
          <w:tcPr>
            <w:tcW w:type="dxa" w:w="2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Cost Range (est.)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Compute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EKS with auto-scaling node groups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Base: 3x m6i.xlarge nodes. Scales to 20+ nodes under load.</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$600–2,500 (scales with customer count)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Graph Database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Neptune (or Neo4j AuraDB)</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Neptune Serverless — scales to demand. AuraDB Professional for Neo4j-native Cypher.</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$200–800 depending on query volume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Relational Database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Aurora PostgreSQL Serverless v2</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Auto-scales 0.5–64 ACUs. Multi-AZ by default.</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$200–600 depending on connections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Message Broker</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MSK (Managed Kafka)</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kafka.m5.large x3 (3-broker cluster). MSK Serverless for variable workloads.</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$400–800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Search</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OpenSearch Service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3-node cluster, r6g.large. Dedicated master nodes for production stability.</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$300–600</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Object Storage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S3</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Standard storage class. Lifecycle policies to Glacier for old audit logs.</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$50–200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on EKS (retained) or Auth0/Okta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in HA mode (2 replicas). Auth0/Okta eliminates operational overhead.</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$0–500 (Auth0 scales with MAU)</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Engine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OPA on EKS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 replicas minimum. Stateless — horizontally scalable.</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Included in EKS compute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API Gateway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Kong Gateway (EKS) or AWS API Gateway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Kong in HA mode. AWS API GW for pure managed option.</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$100–500</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CDN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CloudFront</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Global edge for React SPA and static assets.</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$50–200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Secrets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 Secrets Manager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Per-secret pricing.</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$50–150</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Workflow Engine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Cloud</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Managed Temporal. Eliminates operational complexity of self-hosted.</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$200–500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Monitoring</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Datadog or Grafana Cloud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Full observability stack — metrics, logs, traces.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$200–800</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Total production cost range: $2,400–$8,000/month before customer workload. At meaningful customer scale (20+ organizations), plan for $8,000–$25,000/month. These are platform costs — recover via per-seat or consumption-based pricing.</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Microservices Decomposition</w:t>
      </w:r>
    </w:p>
    <w:p>
      <w:pPr>
        <w:spacing w:before="60" w:after="80"/>
      </w:pPr>
      <w:r>
        <w:rPr>
          <w:rFonts w:ascii="Arial" w:cs="Arial" w:eastAsia="Arial" w:hAnsi="Arial"/>
          <w:color w:val="111827"/>
          <w:sz w:val="20"/>
          <w:szCs w:val="20"/>
        </w:rPr>
        <w:t xml:space="preserve">The MVP monolith splits into independent microservices at the module boundaries already established. Each microservice owns its slice of the PostgreSQL schema and communicates with others via the event bus (MSK) or synchronous API calls for latency-sensitive operations.</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Microservice</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Replicas (base)</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Owns</w:t>
            </w:r>
          </w:p>
        </w:tc>
        <w:tc>
          <w:tcPr>
            <w:tcW w:type="dxa" w:w="3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Communicates With</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organizations schema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Identity Service, Product Service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 Service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 schema + Keycloak sync</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services (auth context)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products schema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 Lineage Service, Access Service, Search Indexer</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Service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connectors schema</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Service, Observability Service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 + OPA sidecar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schema + OPA bundles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 Compliance Monitor, Notification Service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Service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Neo4j (graph writes)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 Observability Service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schema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Service, Trust Score Engine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Trust Score Engine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trust_score_history</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Service, Lineage Service, Governance Engine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Access Control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access schema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 Agent Query Layer, Notification Service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Notification Service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(stateless — reads from Kafka)</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services (consumes events), Temporal workflows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3–10 (auto-scale)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(stateless query execution)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All services (reads), OPA, Neo4j, OpenSearch</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MCP Server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2–5 (auto-scale)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(stateless MCP protocol layer)</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Embedding Service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OpenSearch vector index</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 (triggers reindex on publish)</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Compliance Monitor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(scheduled evaluation)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Engine, Data Product Service, Temporal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Search Indexer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OpenSearch product index</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Service (consumes events)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API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3–10 (auto-scale)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(stateless ingestion)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MSK (Kafka producer), OPA (auth)</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Emission API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2–5 (auto-scale)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(stateless ingestion)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MSK (Kafka producer), OPA (auth)</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Production Data Architecture</w:t>
      </w:r>
    </w:p>
    <w:p>
      <w:pPr>
        <w:pStyle w:val="Heading3"/>
        <w:spacing w:before="240" w:after="120"/>
      </w:pPr>
      <w:r>
        <w:rPr>
          <w:rFonts w:ascii="Arial" w:cs="Arial" w:eastAsia="Arial" w:hAnsi="Arial"/>
          <w:b/>
          <w:bCs/>
          <w:color w:val="00A9A5"/>
          <w:sz w:val="22"/>
          <w:szCs w:val="22"/>
        </w:rPr>
        <w:t xml:space="preserve">Aurora PostgreSQL — Schema Evolution Strategy</w:t>
      </w:r>
    </w:p>
    <w:p>
      <w:pPr>
        <w:spacing w:before="60" w:after="80"/>
      </w:pPr>
      <w:r>
        <w:rPr>
          <w:rFonts w:ascii="Arial" w:cs="Arial" w:eastAsia="Arial" w:hAnsi="Arial"/>
          <w:color w:val="111827"/>
          <w:sz w:val="20"/>
          <w:szCs w:val="20"/>
        </w:rPr>
        <w:t xml:space="preserve">Database migrations use Flyway (Java) or Liquibase — both are well-supported by Claude Code. Schema changes follow backward-compatible migration rules: add columns nullable first, backfill, then add constraints. Never drop columns in a migration — deprecate and remove in a later release cycle.</w:t>
      </w:r>
    </w:p>
    <w:p>
      <w:pPr>
        <w:spacing w:before="80" w:after="120"/>
      </w:pPr>
      <w:r>
        <w:t xml:space="preserve"/>
      </w:r>
    </w:p>
    <w:p>
      <w:pPr>
        <w:pStyle w:val="Heading3"/>
        <w:spacing w:before="240" w:after="120"/>
      </w:pPr>
      <w:r>
        <w:rPr>
          <w:rFonts w:ascii="Arial" w:cs="Arial" w:eastAsia="Arial" w:hAnsi="Arial"/>
          <w:b/>
          <w:bCs/>
          <w:color w:val="00A9A5"/>
          <w:sz w:val="22"/>
          <w:szCs w:val="22"/>
        </w:rPr>
        <w:t xml:space="preserve">Neptune / Neo4j AuraDB — Graph at Scale</w:t>
      </w:r>
    </w:p>
    <w:p>
      <w:pPr>
        <w:spacing w:before="60" w:after="80"/>
      </w:pPr>
      <w:r>
        <w:rPr>
          <w:rFonts w:ascii="Arial" w:cs="Arial" w:eastAsia="Arial" w:hAnsi="Arial"/>
          <w:color w:val="111827"/>
          <w:sz w:val="20"/>
          <w:szCs w:val="20"/>
        </w:rPr>
        <w:t xml:space="preserve">At production scale the lineage graph requires read replicas and query optimization. Key considerations:</w:t>
      </w:r>
    </w:p>
    <w:p>
      <w:pPr>
        <w:pStyle w:val="ListParagraph"/>
        <w:numPr>
          <w:ilvl w:val="0"/>
          <w:numId w:val="2"/>
        </w:numPr>
        <w:spacing w:before="40" w:after="40"/>
      </w:pPr>
      <w:r>
        <w:rPr>
          <w:rFonts w:ascii="Arial" w:cs="Arial" w:eastAsia="Arial" w:hAnsi="Arial"/>
          <w:color w:val="111827"/>
          <w:sz w:val="20"/>
          <w:szCs w:val="20"/>
        </w:rPr>
        <w:t xml:space="preserve">Read replicas for traversal queries — writes go to primary, reads distributed across replicas</w:t>
      </w:r>
    </w:p>
    <w:p>
      <w:pPr>
        <w:pStyle w:val="ListParagraph"/>
        <w:numPr>
          <w:ilvl w:val="0"/>
          <w:numId w:val="2"/>
        </w:numPr>
        <w:spacing w:before="40" w:after="40"/>
      </w:pPr>
      <w:r>
        <w:rPr>
          <w:rFonts w:ascii="Arial" w:cs="Arial" w:eastAsia="Arial" w:hAnsi="Arial"/>
          <w:color w:val="111827"/>
          <w:sz w:val="20"/>
          <w:szCs w:val="20"/>
        </w:rPr>
        <w:t xml:space="preserve">Graph partitioning by org_id — all nodes carry org_id property, all queries include org_id predicate to leverage index</w:t>
      </w:r>
    </w:p>
    <w:p>
      <w:pPr>
        <w:pStyle w:val="ListParagraph"/>
        <w:numPr>
          <w:ilvl w:val="0"/>
          <w:numId w:val="2"/>
        </w:numPr>
        <w:spacing w:before="40" w:after="40"/>
      </w:pPr>
      <w:r>
        <w:rPr>
          <w:rFonts w:ascii="Arial" w:cs="Arial" w:eastAsia="Arial" w:hAnsi="Arial"/>
          <w:color w:val="111827"/>
          <w:sz w:val="20"/>
          <w:szCs w:val="20"/>
        </w:rPr>
        <w:t xml:space="preserve">Time-travel implementation — all nodes carry valid_from and valid_to timestamps. Point-in-time queries filter on these properties rather than querying historical graph snapshots</w:t>
      </w:r>
    </w:p>
    <w:p>
      <w:pPr>
        <w:pStyle w:val="ListParagraph"/>
        <w:numPr>
          <w:ilvl w:val="0"/>
          <w:numId w:val="2"/>
        </w:numPr>
        <w:spacing w:before="40" w:after="40"/>
      </w:pPr>
      <w:r>
        <w:rPr>
          <w:rFonts w:ascii="Arial" w:cs="Arial" w:eastAsia="Arial" w:hAnsi="Arial"/>
          <w:color w:val="111827"/>
          <w:sz w:val="20"/>
          <w:szCs w:val="20"/>
        </w:rPr>
        <w:t xml:space="preserve">Index strategy — composite indexes on (org_id, product_id) for product lookups, (org_id, domain_id) for domain traversal, (org_id, agent_id) for agent provenance queries</w:t>
      </w:r>
    </w:p>
    <w:p>
      <w:pPr>
        <w:spacing w:before="120" w:after="120"/>
      </w:pPr>
      <w:r>
        <w:t xml:space="preserve"/>
      </w:r>
    </w:p>
    <w:p>
      <w:pPr>
        <w:pStyle w:val="Heading3"/>
        <w:spacing w:before="240" w:after="120"/>
      </w:pPr>
      <w:r>
        <w:rPr>
          <w:rFonts w:ascii="Arial" w:cs="Arial" w:eastAsia="Arial" w:hAnsi="Arial"/>
          <w:b/>
          <w:bCs/>
          <w:color w:val="00A9A5"/>
          <w:sz w:val="22"/>
          <w:szCs w:val="22"/>
        </w:rPr>
        <w:t xml:space="preserve">Multi-Tenancy at Scale</w:t>
      </w:r>
    </w:p>
    <w:p>
      <w:pPr>
        <w:spacing w:before="60" w:after="80"/>
      </w:pPr>
      <w:r>
        <w:rPr>
          <w:rFonts w:ascii="Arial" w:cs="Arial" w:eastAsia="Arial" w:hAnsi="Arial"/>
          <w:color w:val="111827"/>
          <w:sz w:val="20"/>
          <w:szCs w:val="20"/>
        </w:rPr>
        <w:t xml:space="preserve">PostgreSQL row-level security is the foundation. In production, high-volume tenants may warrant dedicated Aurora clusters — a 'silo model' for enterprise customers with data residency requirements. The application layer is tenant-routing-aware from day one (org_id in JWT claims routes to the correct database cluster).</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Production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Concern</w:t>
            </w:r>
          </w:p>
        </w:tc>
        <w:tc>
          <w:tcPr>
            <w:tcW w:type="dxa" w:w="3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Production Approach</w:t>
            </w:r>
          </w:p>
        </w:tc>
        <w:tc>
          <w:tcPr>
            <w:tcW w:type="dxa" w:w="3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Delta from MVP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Network isolation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VPC with private subnets for all databases and internal services. Only API Gateway and CloudFront in public subnets.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runs everything on same EC2. Production adds full network isolation.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mTLS</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inter-service communication uses mTLS via service mesh (AWS App Mesh or Istio)</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MVP uses plaintext on localhost. Production adds mTLS for all internal traffic.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Secrets rotation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 Secrets Manager automatic rotation for all database credentials and API keys. 90-day rotation schedule.</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has manual rotation. Production automates it.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KMS</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Customer-managed KMS keys for all encrypted data at rest. Separate KMS key per tenant for highest-tier customers.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MVP uses AWS-managed keys. Production adds CMK support.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WAF</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 WAF in front of CloudFront and API Gateway. OWASP Top 10 rule set.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has no WAF. Production adds it.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Penetration testing</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Annual third-party pen test. Continuous DAST via OWASP ZAP in CI/CD pipeline.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MVP has no formal pen testing program.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SOC 2 Type II</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Audit readiness from day one via audit log architecture. Formal SOC 2 engagement at GA.</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architecture supports SOC 2 — formal audit engagement post-GA.</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residency</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VPC per region. Aurora Global Database for cross-region replication where required. Data residency policy enforced at org configuration level.</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MVP is single-region. Production adds multi-region capability.</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Production Observability Architecture</w:t>
      </w:r>
    </w:p>
    <w:p>
      <w:pPr>
        <w:spacing w:before="60" w:after="80"/>
      </w:pPr>
      <w:r>
        <w:rPr>
          <w:rFonts w:ascii="Arial" w:cs="Arial" w:eastAsia="Arial" w:hAnsi="Arial"/>
          <w:color w:val="111827"/>
          <w:sz w:val="20"/>
          <w:szCs w:val="20"/>
        </w:rPr>
        <w:t xml:space="preserve">The production observability stack covers three distinct layers — do not confuse them:</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Observes</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Stack</w:t>
            </w:r>
          </w:p>
        </w:tc>
        <w:tc>
          <w:tcPr>
            <w:tcW w:type="dxa" w:w="1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Audience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Platform Operational Observability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MeshOS infrastructure health — service latency, error rates, database performance, Kafka consumer lag, EKS node health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Datadog APM + Logs + Infrastructure (or Grafana Cloud)</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Platform engineering team</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Observability</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health — SLO compliance, freshness, schema conformance, trust score, connector health</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Custom MeshOS observability service + custom dashboards in MeshOS UI</w:t>
            </w:r>
          </w:p>
        </w:tc>
        <w:tc>
          <w:tcPr>
            <w:tcW w:type="dxa" w:w="1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Domain teams, consumers, governance teams — via MeshOS UI</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Activity Observability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query patterns, anomaly detection, consumption trends, MCP session metrics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Query Layer metrics → Datadog + MeshOS agent monitoring UI</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teams, domain teams (oversight contacts)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r>
              <w:rPr>
                <w:rFonts w:ascii="Arial" w:cs="Arial" w:eastAsia="Arial" w:hAnsi="Arial"/>
                <w:color w:val="D97706"/>
                <w:sz w:val="20"/>
                <w:szCs w:val="20"/>
              </w:rPr>
              <w:t xml:space="preserve">These three layers must never be conflated in the codebase. Platform operational observability uses Datadog/Grafana. Data product observability is a core MeshOS product feature built custom. Agent activity observability feeds both the MeshOS UI and the operational stack.</w:t>
            </w:r>
          </w:p>
        </w:tc>
      </w:tr>
    </w:tbl>
    <w:p>
      <w:pPr>
        <w:pageBreakBefore/>
        <w:spacing w:before="0" w:after="60"/>
      </w:pPr>
      <w:r>
        <w:rPr>
          <w:rFonts w:ascii="Arial" w:cs="Arial" w:eastAsia="Arial" w:hAnsi="Arial"/>
          <w:b/>
          <w:bCs/>
          <w:color w:val="00A9A5"/>
          <w:sz w:val="20"/>
          <w:szCs w:val="20"/>
        </w:rPr>
        <w:t xml:space="preserve">Section 5</w:t>
      </w:r>
    </w:p>
    <w:p>
      <w:pPr>
        <w:pStyle w:val="Heading1"/>
        <w:spacing w:before="0" w:after="160"/>
      </w:pPr>
      <w:r>
        <w:rPr>
          <w:rFonts w:ascii="Arial" w:cs="Arial" w:eastAsia="Arial" w:hAnsi="Arial"/>
          <w:b/>
          <w:bCs/>
          <w:color w:val="1B3A6B"/>
          <w:sz w:val="36"/>
          <w:szCs w:val="36"/>
        </w:rPr>
        <w:t xml:space="preserve">MVP Build Sequence</w:t>
      </w:r>
    </w:p>
    <w:p>
      <w:pPr>
        <w:spacing w:before="0" w:after="200"/>
      </w:pPr>
      <w:r>
        <w:rPr>
          <w:rFonts w:ascii="Arial" w:cs="Arial" w:eastAsia="Arial" w:hAnsi="Arial"/>
          <w:i/>
          <w:iCs/>
          <w:color w:val="6B7280"/>
          <w:sz w:val="20"/>
          <w:szCs w:val="20"/>
        </w:rPr>
        <w:t xml:space="preserve">A phased build plan optimized for Claude Code — shipping a coherent, usable slice of the platform in each phase rather than building all seven domains in parallel</w:t>
      </w:r>
    </w:p>
    <w:p>
      <w:pPr>
        <w:pBdr>
          <w:bottom w:val="single" w:color="2E75B6" w:sz="6" w:space="1"/>
        </w:pBdr>
        <w:spacing w:before="160" w:after="160"/>
      </w:pPr>
      <w:r>
        <w:t xml:space="preserve"/>
      </w:r>
    </w:p>
    <w:p>
      <w:pPr>
        <w:spacing w:before="60" w:after="80"/>
      </w:pPr>
      <w:r>
        <w:rPr>
          <w:rFonts w:ascii="Arial" w:cs="Arial" w:eastAsia="Arial" w:hAnsi="Arial"/>
          <w:color w:val="111827"/>
          <w:sz w:val="20"/>
          <w:szCs w:val="20"/>
        </w:rPr>
        <w:t xml:space="preserve">The build sequence is designed around two principles: first, each phase produces something a real user can interact with — not internal infrastructure; second, each phase's components are prerequisites for the next phase's components. This prevents the common pattern of building infrastructure for months before any user-facing capability exists.</w:t>
      </w:r>
    </w:p>
    <w:p>
      <w:pPr>
        <w:spacing w:before="120" w:after="120"/>
      </w:pPr>
      <w:r>
        <w:t xml:space="preserve"/>
      </w:r>
    </w:p>
    <w:p>
      <w:pPr>
        <w:pStyle w:val="Heading2"/>
        <w:spacing w:before="320" w:after="160"/>
      </w:pPr>
      <w:r>
        <w:rPr>
          <w:rFonts w:ascii="Arial" w:cs="Arial" w:eastAsia="Arial" w:hAnsi="Arial"/>
          <w:b/>
          <w:bCs/>
          <w:color w:val="2E75B6"/>
          <w:sz w:val="26"/>
          <w:szCs w:val="26"/>
        </w:rPr>
        <w:t xml:space="preserve">Phase 1 — Foundation (Weeks 1–6)</w:t>
      </w:r>
    </w:p>
    <w:p>
      <w:pPr>
        <w:spacing w:before="60" w:after="80"/>
      </w:pPr>
      <w:r>
        <w:rPr>
          <w:rFonts w:ascii="Arial" w:cs="Arial" w:eastAsia="Arial" w:hAnsi="Arial"/>
          <w:color w:val="111827"/>
          <w:sz w:val="20"/>
          <w:szCs w:val="20"/>
        </w:rPr>
        <w:t xml:space="preserve">Goal: A running platform with organization onboarding, domain creation, and basic data product definition. No governance enforcement, no lineage, no agents. Enough for the first design partner conversation.</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Build</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Source to Integrate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Infrastructure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Docker Compose file with all services defined. EC2 provisioning via Terraform. Kong routing configured.</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Docker, Terraform, Kong OSS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 configured with OIDC. NestJS auth module with JWT validation. Principal model in PostgreSQL.</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 passport-jwt (NestJS)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Organization API</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Org and domain CRUD. Role assignment. Namespace model. Self-service onboarding flow.</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TypeORM, PostgreSQL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 Product API (core)</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Product definition schema. Draft lifecycle state. Port declaration model. Definition validation (schema only — no governance yet).</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Zod (schema validation), PostgreSQL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Frontend Shell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app with Keycloak auth. Persona-adaptive navigation shell. Domain dashboard (empty state). Basic data product authoring form.</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TypeScript, TailwindCSS, Keycloak-js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CI/CD Pipeline</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GitHub Actions: test, lint, build, deploy to EC2. Docker build and push to ECR.</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GitHub Actions, Docker, ECR</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Phase 1 deliverable: A design partner can create their organization, create domains, and start defining data products. The platform is real — not a mockup.</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Phase 2 — Governance and Publishing (Weeks 7–12)</w:t>
      </w:r>
    </w:p>
    <w:p>
      <w:pPr>
        <w:spacing w:before="60" w:after="80"/>
      </w:pPr>
      <w:r>
        <w:rPr>
          <w:rFonts w:ascii="Arial" w:cs="Arial" w:eastAsia="Arial" w:hAnsi="Arial"/>
          <w:color w:val="111827"/>
          <w:sz w:val="20"/>
          <w:szCs w:val="20"/>
        </w:rPr>
        <w:t xml:space="preserve">Goal: The governance engine is live. Domain teams can publish data products that are validated against real governance policy. The marketplace is visible to consumers. This is the first complete data mesh workflow.</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Build</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Source to Integrate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Integration</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sidecar deployed. Policy compilation pipeline (JSON → Rego). Governance Engine NestJS module. Default policy schema.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opa npm client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Governance UI</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Authoring Studio (initial version). Rule builder for Product Schema Policy and Classification Taxonomy Policy only. Impact preview.</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React, NestJS governance API</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API (full)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Published lifecycle state. Port contract validation. Publication-time OPA enforcement. Versioning (MINOR and PATCH). Connector integration.</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OPA client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Framework</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Connector registration API. Credential reference model (Secrets Manager integration). Connector validation for PostgreSQL, Snowflake, BigQuery, S3.</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AWS Secrets Manager SDK, connector-specific drivers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Marketplace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marketplace UI. Product discovery (keyword search only at Phase 2). Product detail page. Trust score (basic — compliance + schema conformance only).</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NestJS search API, OpenSearch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Access Control</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Access grant model. Access request workflow via Temporal. Consumer-product relationship tracking.</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Temporal TypeScript SDK</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Phase 2 deliverable: End-to-end data mesh workflow. Domain team publishes a product, governance policy is enforced, consumer discovers and requests access. A real design partner can run a pilot.</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Phase 3 — Lineage and Observability (Weeks 13–18)</w:t>
      </w:r>
    </w:p>
    <w:p>
      <w:pPr>
        <w:spacing w:before="60" w:after="80"/>
      </w:pPr>
      <w:r>
        <w:rPr>
          <w:rFonts w:ascii="Arial" w:cs="Arial" w:eastAsia="Arial" w:hAnsi="Arial"/>
          <w:color w:val="111827"/>
          <w:sz w:val="20"/>
          <w:szCs w:val="20"/>
        </w:rPr>
        <w:t xml:space="preserve">Goal: The trust infrastructure is live. Lineage graph is populated from both declared and emitted lineage. Trust scores are full-fidelity. The platform is ready for serious design partner use.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Build</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Source to Integrate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API</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High-throughput ingestion endpoint. Kafka producer. OpenLineage-aligned event schema. Idempotent deduplication.</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Redpanda/Kafka, openlineage-js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Graph Service</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Neo4j schema initialization. Graph write service (consuming from Kafka). Lineage query API (upstream, downstream, impact, path). Declared vs emitted reconciliation.</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Neo4j (neo4j-driver npm), NestJS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Lineage Emission SDK</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Python SDK (PyPI). TypeScript SDK (npm). OpenAPI-generated clients.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openlineage-python, OpenAPI Generator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 Emission API</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Metric ingestion endpoint. SLO evaluation engine. Observability state writes to PostgreSQL.</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Redpanda</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Trust Score Engine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Full trust score computation: lineage completeness + SLO compliance + governance compliance + schema conformance + freshness. Historical trend tracking.</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PostgreSQL time-series queries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Lineage Visualization</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React graph visualization component. Upstream/downstream display. Depth control. Node type visual encoding. Export.</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React Flow or D3.js (force-directed graph), React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Observability Dashboard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Per-product observability UI. SLO compliance display. Trust score detail view with breakdown. Trend sparklines.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Recharts, NestJS observability API</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Phase 3 deliverable: The platform is now a genuine trust infrastructure. Consumers can evaluate data products before consuming them. Governance teams have real compliance visibility.</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Phase 4 — Agent Integration (Weeks 19–26)</w:t>
      </w:r>
    </w:p>
    <w:p>
      <w:pPr>
        <w:spacing w:before="60" w:after="80"/>
      </w:pPr>
      <w:r>
        <w:rPr>
          <w:rFonts w:ascii="Arial" w:cs="Arial" w:eastAsia="Arial" w:hAnsi="Arial"/>
          <w:color w:val="111827"/>
          <w:sz w:val="20"/>
          <w:szCs w:val="20"/>
        </w:rPr>
        <w:t xml:space="preserve">Goal: AI agents are first-class participants. The MCP server is live. The federated semantic query layer is operational. Agent identity, access control, and provenance are enforced. This is the Data 3.0 milestone.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Build</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Source to Integrate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Identity Service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identity registration. Trust classification model. Human oversight contact assignment. Model version binding. Lifecycle management.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PostgreSQL, Keycloak (agent principal type)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Access Control</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Agent-specific access grant model. Dynamic per-query evaluation. Rate limiting at Kong. Anomaly detection service.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Kong rate-limiting plugin, Temporal (anomaly escalation workflows)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Embedding Service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deployment. Product embedding pipeline (triggered on publish). OpenSearch vector index population.</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Python, FastAPI, sentence-transformers, OpenSearch kNN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Search</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OpenSearch semantic search API. Natural language query translation (Claude API). Structured semantic query engine.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OpenSearch, Anthropic SDK (claude-sonnet-4-20250514)</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Server</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Full MCP server implementation. Resources: all authorized product output ports. Tools: search, query, lineage traversal, access request, observability. Prompts: common agent patterns.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@modelcontextprotocol/sdk (TypeScript), NestJS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Federated Query Layer</w:t>
            </w:r>
          </w:p>
        </w:tc>
        <w:tc>
          <w:tcPr>
            <w:tcW w:type="dxa" w:w="3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Query planning engine. Policy-aware execution (OPA integration). Cross-product join semantics. Provenance envelope builder. Result caching (Redis).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NestJS, OPA client, Redis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UI</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Registry UI. Agent Activity Monitor. Human Review Queue (Observed trust class). Agent Trust Classification UI for governance teams.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NestJS agent API</w:t>
            </w:r>
          </w:p>
        </w:tc>
      </w:tr>
    </w:tbl>
    <w:p>
      <w:pPr>
        <w:spacing w:before="80" w:after="120"/>
      </w:pPr>
      <w:r>
        <w:t xml:space="preserve"/>
      </w:r>
    </w:p>
    <w:p>
      <w:pPr>
        <w:spacing w:before="60" w:after="80"/>
        <w:ind w:left="360"/>
      </w:pPr>
      <w:r>
        <w:rPr>
          <w:rFonts w:ascii="Arial" w:cs="Arial" w:eastAsia="Arial" w:hAnsi="Arial"/>
          <w:i/>
          <w:iCs/>
          <w:color w:val="6B7280"/>
          <w:sz w:val="18"/>
          <w:szCs w:val="18"/>
        </w:rPr>
        <w:t xml:space="preserve">Phase 4 deliverable: MeshOS is a Data 3.0 platform. Any MCP-compatible AI agent can discover, access, and query data products through the platform. Agent governance is live.</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Phase 5 — Production Hardening (Weeks 27–34)</w:t>
      </w:r>
    </w:p>
    <w:p>
      <w:pPr>
        <w:spacing w:before="60" w:after="80"/>
      </w:pPr>
      <w:r>
        <w:rPr>
          <w:rFonts w:ascii="Arial" w:cs="Arial" w:eastAsia="Arial" w:hAnsi="Arial"/>
          <w:color w:val="111827"/>
          <w:sz w:val="20"/>
          <w:szCs w:val="20"/>
        </w:rPr>
        <w:t xml:space="preserve">Goal: Migration from MVP infrastructure to production-grade managed services. No new features — all effort goes to reliability, security, and scale.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c>
          <w:tcPr>
            <w:tcW w:type="dxa" w:w="4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9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Monolith → Microservices split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Extract NestJS modules into independent services. Kubernetes manifests for each. Helm charts for deployment.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Medium — interface contracts are pre-defined; split is mechanical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Database migration to managed services</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PostgreSQL → Aurora PostgreSQL. Neo4j → Neptune or Neo4j AuraDB. Redpanda → Amazon MSK. OpenSearch → Amazon OpenSearch Service.</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Low — same APIs, configuration-only changes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EKS migration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Containerized services moved to EKS. Auto-scaling configured. Health checks and readiness probes.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already containerized in MVP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Security hardening</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VPC with private subnets. mTLS via App Mesh. WAF deployment. KMS customer-managed keys. Penetration testing engagement.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Medium — new infrastructure components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Multi-tenancy validation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Load testing with simulated multi-tenant workload. RLS audit. Tenant isolation penetration test.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High — critical to get right before enterprise customers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SOC 2 readiness audit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Internal audit against SOC 2 controls. Gap analysis. Remediation. Formal auditor engagement.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Medium — documentation-heavy but architecture is already compliant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Disaster recovery</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RTO and RPO definition. Cross-region Aurora replication. Neptune snapshot automation. Runbook documentation.</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managed services simplify DR significantly</w:t>
            </w:r>
          </w:p>
        </w:tc>
      </w:tr>
    </w:tbl>
    <w:p>
      <w:pPr>
        <w:pageBreakBefore/>
        <w:spacing w:before="0" w:after="60"/>
      </w:pPr>
      <w:r>
        <w:rPr>
          <w:rFonts w:ascii="Arial" w:cs="Arial" w:eastAsia="Arial" w:hAnsi="Arial"/>
          <w:b/>
          <w:bCs/>
          <w:color w:val="00A9A5"/>
          <w:sz w:val="20"/>
          <w:szCs w:val="20"/>
        </w:rPr>
        <w:t xml:space="preserve">Section 6</w:t>
      </w:r>
    </w:p>
    <w:p>
      <w:pPr>
        <w:pStyle w:val="Heading1"/>
        <w:spacing w:before="0" w:after="160"/>
      </w:pPr>
      <w:r>
        <w:rPr>
          <w:rFonts w:ascii="Arial" w:cs="Arial" w:eastAsia="Arial" w:hAnsi="Arial"/>
          <w:b/>
          <w:bCs/>
          <w:color w:val="1B3A6B"/>
          <w:sz w:val="36"/>
          <w:szCs w:val="36"/>
        </w:rPr>
        <w:t xml:space="preserve">Technology Decision Register</w:t>
      </w:r>
    </w:p>
    <w:p>
      <w:pPr>
        <w:spacing w:before="0" w:after="200"/>
      </w:pPr>
      <w:r>
        <w:rPr>
          <w:rFonts w:ascii="Arial" w:cs="Arial" w:eastAsia="Arial" w:hAnsi="Arial"/>
          <w:i/>
          <w:iCs/>
          <w:color w:val="6B7280"/>
          <w:sz w:val="20"/>
          <w:szCs w:val="20"/>
        </w:rPr>
        <w:t xml:space="preserve">Explicit records of significant technology choices, the alternatives considered, and the rationale — so future decisions can revisit these with full context</w:t>
      </w:r>
    </w:p>
    <w:p>
      <w:pPr>
        <w:pBdr>
          <w:bottom w:val="single" w:color="2E75B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600"/>
        <w:gridCol w:w="1760"/>
      </w:tblGrid>
      <w:tr>
        <w:trPr>
          <w:tblHeader/>
        </w:trPr>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Alternatives Considered</w:t>
            </w:r>
          </w:p>
        </w:tc>
        <w:tc>
          <w:tcPr>
            <w:tcW w:type="dxa" w:w="2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Revisit Trigger</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Graph Database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(MVP) → Neptune (prod)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Neptune from day one; TigerGraph; NebulaGraph; PostgreSQL with recursive CTEs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Community is free and the best-documented graph DB for Claude Code. Neptune is the managed upgrade path — same Cypher query language, zero migration.</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If Neo4j AuraDB pricing becomes prohibitive at scale; if Neptune adds features that eliminate the migration friction</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Engine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 Policy Agent (OPA)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Casbin; custom policy evaluation; Cedar (AWS); SpiceDB</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OPA is the industry standard. Rego is well-documented. Hot-reload via bundle API satisfies NF4.3 without redeployment. Large Claude Code training corpus.</w:t>
            </w:r>
          </w:p>
        </w:tc>
        <w:tc>
          <w:tcPr>
            <w:tcW w:type="dxa" w:w="1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If Rego becomes a maintenance burden as policy complexity grows — consider Cedar for a more readable policy language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Message Broker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(MVP) → MSK (prod)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RabbitMQ; AWS SQS/SNS; Pulsar; pure Kafka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is Kafka-compatible with dramatically lower operational overhead for MVP (single binary, no Zookeeper). MSK in production eliminates the Kafka operational burden entirely.</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Revisit if Redpanda introduces licensing changes; MSK Serverless may be viable even at MVP to eliminate self-hosting</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Workflow Engine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AWS Step Functions; Airflow; custom state machine in PostgreSQL</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handles durable long-running workflows (deprecation notice periods, grace period timers, exception expiry) without the complexity of building state machines. TypeScript SDK is excellent.</w:t>
            </w:r>
          </w:p>
        </w:tc>
        <w:tc>
          <w:tcPr>
            <w:tcW w:type="dxa" w:w="1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If Temporal Cloud pricing becomes significant — Step Functions is the AWS-native alternative at the cost of flexibility</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Frontend Framework</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 TypeScript + TailwindCSS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Vue.js; Svelte; Angular; Next.js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React is the highest-Claude-Code-familiarity frontend framework. TypeScript adds type safety shared with the backend monorepo. TailwindCSS eliminates CSS architecture decisions.</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 strong revisit trigger — React is stable and Claude Code will only get better at it</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NL Query Translation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Claude API (claude-sonnet-4-20250514)</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GPT-4o; local Llama via Ollama; rule-based query parser</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Using Claude for natural language query translation in an Anthropic-protocol platform is the natural choice. The Anthropic SDK is well-documented. Performance and accuracy are leading class.</w:t>
            </w:r>
          </w:p>
        </w:tc>
        <w:tc>
          <w:tcPr>
            <w:tcW w:type="dxa" w:w="1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Revisit if cost at scale becomes prohibitive — a fine-tuned local model could reduce per-query LLM cost for high-volume agents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Implementation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@modelcontextprotocol/sdk (official TypeScript)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Custom MCP implementation; Python MCP SDK</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The official TypeScript SDK is the reference implementation. Using it guarantees compliance with the spec and benefits from upstream updates automatically.</w:t>
            </w:r>
          </w:p>
        </w:tc>
        <w:tc>
          <w:tcPr>
            <w:tcW w:type="dxa" w:w="1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No revisit trigger — always use the official SDK</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Embeddings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(self-hosted)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OpenAI Embeddings API; AWS Bedrock Titan Embeddings; Cohere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Self-hosted sentence-transformers (all-MiniLM-L6-v2) is free, fast enough for product discovery, and avoids per-embedding API cost at scale. Managed API is the production upgrade path if latency or accuracy becomes a concern.</w:t>
            </w:r>
          </w:p>
        </w:tc>
        <w:tc>
          <w:tcPr>
            <w:tcW w:type="dxa" w:w="1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Revisit if embedding quality is insufficient for agent semantic search accuracy — upgrade to managed API</w:t>
            </w:r>
          </w:p>
        </w:tc>
      </w:tr>
    </w:tbl>
    <w:p>
      <w:pPr>
        <w:pageBreakBefore/>
        <w:spacing w:before="0" w:after="60"/>
      </w:pPr>
      <w:r>
        <w:rPr>
          <w:rFonts w:ascii="Arial" w:cs="Arial" w:eastAsia="Arial" w:hAnsi="Arial"/>
          <w:b/>
          <w:bCs/>
          <w:color w:val="00A9A5"/>
          <w:sz w:val="20"/>
          <w:szCs w:val="20"/>
        </w:rPr>
        <w:t xml:space="preserve">Section 7</w:t>
      </w:r>
    </w:p>
    <w:p>
      <w:pPr>
        <w:pStyle w:val="Heading1"/>
        <w:spacing w:before="0" w:after="160"/>
      </w:pPr>
      <w:r>
        <w:rPr>
          <w:rFonts w:ascii="Arial" w:cs="Arial" w:eastAsia="Arial" w:hAnsi="Arial"/>
          <w:b/>
          <w:bCs/>
          <w:color w:val="1B3A6B"/>
          <w:sz w:val="36"/>
          <w:szCs w:val="36"/>
        </w:rPr>
        <w:t xml:space="preserve">Claude Code Implementation Guidance</w:t>
      </w:r>
    </w:p>
    <w:p>
      <w:pPr>
        <w:spacing w:before="0" w:after="200"/>
      </w:pPr>
      <w:r>
        <w:rPr>
          <w:rFonts w:ascii="Arial" w:cs="Arial" w:eastAsia="Arial" w:hAnsi="Arial"/>
          <w:i/>
          <w:iCs/>
          <w:color w:val="6B7280"/>
          <w:sz w:val="20"/>
          <w:szCs w:val="20"/>
        </w:rPr>
        <w:t xml:space="preserve">Specific patterns and approaches that maximize Claude Code effectiveness for this architecture</w:t>
      </w:r>
    </w:p>
    <w:p>
      <w:pPr>
        <w:pBdr>
          <w:bottom w:val="single" w:color="2E75B6"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60"/>
              <w:left w:type="dxa" w:w="240"/>
              <w:bottom w:type="dxa" w:w="160"/>
              <w:right w:type="dxa" w:w="240"/>
            </w:tcMar>
          </w:tcPr>
          <w:p>
            <w:r>
              <w:rPr>
                <w:rFonts w:ascii="Arial" w:cs="Arial" w:eastAsia="Arial" w:hAnsi="Arial"/>
                <w:color w:val="1B3A6B"/>
                <w:sz w:val="20"/>
                <w:szCs w:val="20"/>
              </w:rPr>
              <w:t xml:space="preserve">This section is unique to MeshOS's situation: Claude Code as the engineering team. These are not general software engineering principles — they are specific practices that make Claude Code more effective for this particular architecture.</w:t>
            </w:r>
          </w:p>
        </w:tc>
      </w:tr>
    </w:tbl>
    <w:p>
      <w:pPr>
        <w:spacing w:before="120" w:after="120"/>
      </w:pPr>
      <w:r>
        <w:t xml:space="preserve"/>
      </w:r>
    </w:p>
    <w:p>
      <w:pPr>
        <w:pStyle w:val="Heading2"/>
        <w:spacing w:before="320" w:after="160"/>
      </w:pPr>
      <w:r>
        <w:rPr>
          <w:rFonts w:ascii="Arial" w:cs="Arial" w:eastAsia="Arial" w:hAnsi="Arial"/>
          <w:b/>
          <w:bCs/>
          <w:color w:val="2E75B6"/>
          <w:sz w:val="26"/>
          <w:szCs w:val="26"/>
        </w:rPr>
        <w:t xml:space="preserve">Repository Structure</w:t>
      </w:r>
    </w:p>
    <w:p>
      <w:pPr>
        <w:spacing w:before="60" w:after="80"/>
      </w:pPr>
      <w:r>
        <w:rPr>
          <w:rFonts w:ascii="Arial" w:cs="Arial" w:eastAsia="Arial" w:hAnsi="Arial"/>
          <w:color w:val="111827"/>
          <w:sz w:val="20"/>
          <w:szCs w:val="20"/>
        </w:rPr>
        <w:t xml:space="preserve">Use a monorepo structure from day one. Claude Code reasons better about a single repository with clear module boundaries than multiple repositories with cross-repo dependencies.</w:t>
      </w:r>
    </w:p>
    <w:p>
      <w:pPr>
        <w:spacing w:before="80" w:after="120"/>
      </w:pPr>
      <w:r>
        <w:t xml:space="preserve"/>
      </w:r>
    </w:p>
    <w:p>
      <w:pPr>
        <w:shd w:fill="F3F4F6" w:val="clear"/>
        <w:spacing w:before="80" w:after="120"/>
      </w:pPr>
      <w:r>
        <w:rPr>
          <w:rFonts w:ascii="Courier New" w:cs="Courier New" w:eastAsia="Courier New" w:hAnsi="Courier New"/>
          <w:color w:val="1B3A6B"/>
          <w:sz w:val="15"/>
          <w:szCs w:val="15"/>
        </w:rPr>
        <w:t xml:space="preserve">meshos/
├── apps/
│   ├── api/                    # NestJS monolith (MVP) → microservices (prod)
│   │   ├── src/
│   │   │   ├── organizations/  # Module: org and domain management
│   │   │   ├── products/       # Module: data product lifecycle
│   │   │   ├── connectors/     # Module: connector framework
│   │   │   ├── governance/     # Module: policy engine integration
│   │   │   ├── lineage/        # Module: lineage graph service
│   │   │   ├── observability/  # Module: metrics and trust score
│   │   │   ├── access/         # Module: access grants and requests
│   │   │   └── notifications/  # Module: notification service
│   ├── agent-query/            # Agent Query Layer (separate NestJS app)
│   │   ├── src/
│   │   │   ├── mcp/            # MCP server implementation
│   │   │   ├── graphql/        # GraphQL schema exploration API
│   │   │   ├── semantic/       # Natural language + structured query
│   │   │   ├── federation/     # Cross-product query federation
│   │   │   └── provenance/     # Provenance envelope builder
│   ├── embedding/              # Python FastAPI embedding service
│   └── web/                    # React frontend
│       ├── src/
│       │   ├── features/       # Feature-first organization mirrors personas
│       │   │   ├── governance/ # Policy studio, command center
│       │   │   ├── publishing/ # Product authoring, domain dashboard
│       │   │   ├── discovery/  # Marketplace, product detail, consumer workspace
│       │   │   └── agents/     # Agent registry, activity monitor, review queue
│       │   └── shared/         # Design system, shared hooks, API clients
├── packages/
│   ├── types/                  # Shared TypeScript types (monorepo-wide)
│   ├── openapi/                # OpenAPI specs (source of truth for all APIs)
│   ├── sdk-ts/                 # TypeScript lineage emission SDK
│   ├── sdk-python/             # Python lineage emission SDK
│   └── policy/                 # OPA Rego policy templates and compiler
├── infrastructure/
│   ├── terraform/              # AWS infrastructure as code
│   ├── k8s/                    # Kubernetes manifests
│   ├── docker/                 # Docker Compose (MVP)
│   └── scripts/                # Deployment and operational scripts
└── docs/
    ├── architecture/           # This document and ADRs
    ├── api/                    # Generated from OpenAPI specs
    └── runbooks/               # Operational runbooks</w:t>
      </w:r>
    </w:p>
    <w:p>
      <w:pPr>
        <w:spacing w:before="160" w:after="120"/>
      </w:pPr>
      <w:r>
        <w:t xml:space="preserve"/>
      </w:r>
    </w:p>
    <w:p>
      <w:pPr>
        <w:pStyle w:val="Heading2"/>
        <w:spacing w:before="320" w:after="160"/>
      </w:pPr>
      <w:r>
        <w:rPr>
          <w:rFonts w:ascii="Arial" w:cs="Arial" w:eastAsia="Arial" w:hAnsi="Arial"/>
          <w:b/>
          <w:bCs/>
          <w:color w:val="2E75B6"/>
          <w:sz w:val="26"/>
          <w:szCs w:val="26"/>
        </w:rPr>
        <w:t xml:space="preserve">Claude Code Effective Patterns for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4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Matters for Claude Code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OpenAPI spec first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Define the API spec in packages/openapi/ before writing any implementation. Generate types, client SDKs, and validation schemas from the spec.</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Code generates accurate implementations when given a precise spec. It struggles when deriving the API shape from an existing implementation.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Database migrations as the schema definition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Write Flyway migration files as the authoritative schema definition. Never write schema as comments or prose.</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Claude Code reads migration files and generates accurate TypeORM entities from them. It produces inconsistent results when the schema exists only in documentation.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Test as specification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Write failing tests before implementation. Describe behavior in test names, not comments.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Code writes implementations that pass tests reliably. It is less reliable when told to "implement X" without a test to pass.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Environment-based configuration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All configuration via environment variables. No hardcoded values anywhere. Use Zod for env validation at startup.</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Claude Code generates portable code when configuration is externalized. It tends to hardcode values when configuration patterns are unclear.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Explicit module interfaces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Every NestJS module exports a typed interface defining what it exposes to other modules. Cross-module calls use the interface, not the implementation.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Code respects module boundaries when they are explicit TypeScript interfaces. It tends to import from implementation files directly when boundaries are implicit.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ADR for every significant decision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Architecture Decision Records in docs/architecture/adr/. Numbered, dated, with context, decision, and consequences.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Claude Code reads ADRs in context and makes consistent decisions within established patterns. Without ADRs, it may contradict prior decisions in later sessions.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Seed data as documentation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Maintain a comprehensive seed dataset for local development. Cover all entity types, all lifecycle states, all compliance states.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Code builds features against concrete examples. Comprehensive seed data means it can test features end-to-end without waiting for real data.</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What to Build vs. What to Configure</w:t>
      </w:r>
    </w:p>
    <w:p>
      <w:pPr>
        <w:spacing w:before="60" w:after="80"/>
      </w:pPr>
      <w:r>
        <w:rPr>
          <w:rFonts w:ascii="Arial" w:cs="Arial" w:eastAsia="Arial" w:hAnsi="Arial"/>
          <w:color w:val="111827"/>
          <w:sz w:val="20"/>
          <w:szCs w:val="20"/>
        </w:rPr>
        <w:t xml:space="preserve">The most consequential decisions for a Claude Code-built platform are about what to build from scratch versus what to configure from open source. Building from scratch burns Claude Code sessions on commodity infrastructure. Configuring open source multiplies its leverage.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Build from scratch</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Configure from open source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Governance policy UI (Policy Authoring Studio)</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Rego policy evaluation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Trust score computation algorithm</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Neo4j graph schema and Cypher queries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Data product definition validation logic</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realm configuration and OIDC flows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Port contract enforcement engine</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workflow definitions for governance processes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Semantic change declaration model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OpenSearch index mapping and query DSL</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Agent provenance envelope builder</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Kong plugin configuration for rate limiting and auth</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MeshOS-specific MCP tools and prompts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topic configuration and consumer groups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Non-determinism lineage markers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Docker Compose and Terraform infrastructure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Federated query planner and executor</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model selection and serving</w:t>
            </w:r>
          </w:p>
        </w:tc>
      </w:tr>
    </w:tbl>
    <w:p>
      <w:pPr>
        <w:pageBreakBefore/>
        <w:spacing w:before="0" w:after="60"/>
      </w:pPr>
      <w:r>
        <w:rPr>
          <w:rFonts w:ascii="Arial" w:cs="Arial" w:eastAsia="Arial" w:hAnsi="Arial"/>
          <w:b/>
          <w:bCs/>
          <w:color w:val="00A9A5"/>
          <w:sz w:val="20"/>
          <w:szCs w:val="20"/>
        </w:rPr>
        <w:t xml:space="preserve">Section 8</w:t>
      </w:r>
    </w:p>
    <w:p>
      <w:pPr>
        <w:pStyle w:val="Heading1"/>
        <w:spacing w:before="0" w:after="160"/>
      </w:pPr>
      <w:r>
        <w:rPr>
          <w:rFonts w:ascii="Arial" w:cs="Arial" w:eastAsia="Arial" w:hAnsi="Arial"/>
          <w:b/>
          <w:bCs/>
          <w:color w:val="1B3A6B"/>
          <w:sz w:val="36"/>
          <w:szCs w:val="36"/>
        </w:rPr>
        <w:t xml:space="preserve">Architecture Summary</w:t>
      </w:r>
    </w:p>
    <w:p>
      <w:pPr>
        <w:spacing w:before="0" w:after="200"/>
      </w:pPr>
      <w:r>
        <w:rPr>
          <w:rFonts w:ascii="Arial" w:cs="Arial" w:eastAsia="Arial" w:hAnsi="Arial"/>
          <w:i/>
          <w:iCs/>
          <w:color w:val="6B7280"/>
          <w:sz w:val="20"/>
          <w:szCs w:val="20"/>
        </w:rPr>
        <w:t xml:space="preserve">A single-page reference view of the complete architecture</w:t>
      </w:r>
    </w:p>
    <w:p>
      <w:pPr>
        <w:pBdr>
          <w:bottom w:val="single" w:color="2E75B6" w:sz="6" w:space="1"/>
        </w:pBdr>
        <w:spacing w:before="160" w:after="160"/>
      </w:pPr>
      <w:r>
        <w:t xml:space="preserve"/>
      </w:r>
    </w:p>
    <w:p>
      <w:pPr>
        <w:pStyle w:val="Heading2"/>
        <w:spacing w:before="320" w:after="160"/>
      </w:pPr>
      <w:r>
        <w:rPr>
          <w:rFonts w:ascii="Arial" w:cs="Arial" w:eastAsia="Arial" w:hAnsi="Arial"/>
          <w:b/>
          <w:bCs/>
          <w:color w:val="2E75B6"/>
          <w:sz w:val="26"/>
          <w:szCs w:val="26"/>
        </w:rPr>
        <w:t xml:space="preserve">MVP Architecture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6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 cloud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 (with Activate startup credits)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Compute (MVP)</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2x EC2 instances (~$155/month)</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Deployment model (MVP)</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Docker Compose → NestJS monolith with module boundaries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Primary language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TypeScript (NestJS + React). Python for embedding service only.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Graph database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Neo4j Community (self-hosted on EC2)</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Relational database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PostgreSQL 16 (self-hosted on EC2)</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Message broker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(Kafka-compatible, self-hosted)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Policy engine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 Policy Agent (OPA sidecar)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Search</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OpenSearch (single-node, self-hosted)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Keycloak (self-hosted)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Workflow engine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Temporal (self-hosted)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API gateway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Kong OSS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Agent interface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MCP server (official TypeScript SDK) + GraphQL + REST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Semantic search</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sentence-transformers + OpenSearch kNN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NL query translation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Claude API (claude-sonnet-4-20250514)</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Estimated MVP cost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$200–350/month ($0 with AWS Activate credits)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build timeline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~26 weeks (4 feature phases + infrastructure)</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Production Architecture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6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Primary cloud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Compute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EKS with auto-scaling node groups (3x m6i.xlarge base)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Deployment model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Independent microservices on Kubernetes. Helm charts. GitOps via ArgoCD.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Graph database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Neptune Serverless or Neo4j AuraDB</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Relational database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Aurora PostgreSQL Serverless v2 (Multi-AZ)</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Message broker</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MSK (Managed Kafka)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Policy engine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OPA on EKS (2 replicas, stateless, horizontally scalable)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Search</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OpenSearch Service (3-node cluster)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Identity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on EKS (HA) or Auth0/Okta</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Workflow engine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Temporal Cloud (managed)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API gateway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Kong Gateway on EKS or AWS API Gateway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CDN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CloudFront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Secrets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AWS Secrets Manager with automatic rotation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Observability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Datadog APM + Logs + Infrastructure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Security additions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VPC private subnets, mTLS via App Mesh, WAF, KMS CMK</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Estimated platform cost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$2,400–$8,000/month (before customer workload costs)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MVP → Production migration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Configuration changes only — no code rewrites. Same service interfaces.</w:t>
            </w:r>
          </w:p>
        </w:tc>
      </w:tr>
    </w:tbl>
    <w:p>
      <w:pPr>
        <w:spacing w:before="160" w:after="120"/>
      </w:pPr>
      <w:r>
        <w:t xml:space="preserve"/>
      </w:r>
    </w:p>
    <w:p>
      <w:pPr>
        <w:pStyle w:val="Heading2"/>
        <w:spacing w:before="320" w:after="160"/>
      </w:pPr>
      <w:r>
        <w:rPr>
          <w:rFonts w:ascii="Arial" w:cs="Arial" w:eastAsia="Arial" w:hAnsi="Arial"/>
          <w:b/>
          <w:bCs/>
          <w:color w:val="2E75B6"/>
          <w:sz w:val="26"/>
          <w:szCs w:val="26"/>
        </w:rPr>
        <w:t xml:space="preserve">The Upgrade Path</w:t>
      </w:r>
    </w:p>
    <w:p>
      <w:pPr>
        <w:spacing w:before="60" w:after="80"/>
      </w:pPr>
      <w:r>
        <w:rPr>
          <w:rFonts w:ascii="Arial" w:cs="Arial" w:eastAsia="Arial" w:hAnsi="Arial"/>
          <w:color w:val="111827"/>
          <w:sz w:val="20"/>
          <w:szCs w:val="20"/>
        </w:rPr>
        <w:t xml:space="preserve">The single most important property of this architecture is that the upgrade path from MVP to production requires zero application code changes. Every migration is a configuration change: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MVP Component</w:t>
            </w:r>
          </w:p>
        </w:tc>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Production Equivalent</w:t>
            </w:r>
          </w:p>
        </w:tc>
        <w:tc>
          <w:tcPr>
            <w:tcW w:type="dxa" w:w="3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Migration Complexity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PostgreSQL on EC2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Aurora PostgreSQL Serverless v2</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connection string change + RLS policy review</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Neo4j Community on EC2</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Neptune or Neo4j AuraDB</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Low — same Cypher dialect, connection string change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Redpanda on EC2</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Amazon MSK</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Kafka-compatible API, configuration change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OpenSearch on EC2</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OpenSearch Service</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Low — same REST API, index migration script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Temporal self-hosted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Temporal Cloud</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same SDK, namespace configuration change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MinIO on EC2</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Amazon S3</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Low — S3-compatible API, endpoint configuration change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self-hosted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Keycloak on EKS (HA)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Low — realm export/import, HA configuration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Docker Compose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EKS + Helm charts</w:t>
            </w:r>
          </w:p>
        </w:tc>
        <w:tc>
          <w:tcPr>
            <w:tcW w:type="dxa" w:w="3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111827"/>
                <w:sz w:val="18"/>
                <w:szCs w:val="18"/>
              </w:rPr>
              <w:t xml:space="preserve">Medium — containerization is done; Kubernetes manifests to write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NestJS monolith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Independent microservices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111827"/>
                <w:sz w:val="18"/>
                <w:szCs w:val="18"/>
              </w:rPr>
              <w:t xml:space="preserve">Medium — module boundaries pre-defined; service extraction is mechanical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center"/>
    </w:pPr>
    <w:r>
      <w:rPr>
        <w:rFonts w:ascii="Arial" w:cs="Arial" w:eastAsia="Arial" w:hAnsi="Arial"/>
        <w:color w:val="6B7280"/>
        <w:sz w:val="16"/>
        <w:szCs w:val="16"/>
      </w:rPr>
      <w:t xml:space="preserve">Confidential  |  Companion to PRD v1.0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60"/>
    </w:pPr>
    <w:r>
      <w:rPr>
        <w:rFonts w:ascii="Arial" w:cs="Arial" w:eastAsia="Arial" w:hAnsi="Arial"/>
        <w:color w:val="6B7280"/>
        <w:sz w:val="18"/>
        <w:szCs w:val="18"/>
      </w:rPr>
      <w:t xml:space="preserve">MeshOS — Technical Architecture Document  |  MVP &amp;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0A9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2026-03-31T01:54:08.096Z</dcterms:created>
  <dcterms:modified xsi:type="dcterms:W3CDTF">2026-03-31T01:54:08.098Z</dcterms:modified>
</cp:coreProperties>
</file>

<file path=docProps/custom.xml><?xml version="1.0" encoding="utf-8"?>
<Properties xmlns="http://schemas.openxmlformats.org/officeDocument/2006/custom-properties" xmlns:vt="http://schemas.openxmlformats.org/officeDocument/2006/docPropsVTypes"/>
</file>