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t xml:space="preserve"/>
      </w:r>
    </w:p>
    <w:p>
      <w:pPr>
        <w:spacing w:before="0" w:after="120"/>
        <w:jc w:val="center"/>
      </w:pPr>
      <w:r>
        <w:rPr>
          <w:rFonts w:ascii="Arial" w:cs="Arial" w:eastAsia="Arial" w:hAnsi="Arial"/>
          <w:b/>
          <w:bCs/>
          <w:color w:val="1B3A6B"/>
          <w:sz w:val="72"/>
          <w:szCs w:val="72"/>
        </w:rPr>
        <w:t xml:space="preserve">MeshOS</w:t>
      </w:r>
    </w:p>
    <w:p>
      <w:pPr>
        <w:spacing w:before="0" w:after="80"/>
        <w:jc w:val="center"/>
      </w:pPr>
      <w:r>
        <w:rPr>
          <w:rFonts w:ascii="Arial" w:cs="Arial" w:eastAsia="Arial" w:hAnsi="Arial"/>
          <w:color w:val="2E75B6"/>
          <w:sz w:val="32"/>
          <w:szCs w:val="32"/>
        </w:rPr>
        <w:t xml:space="preserve">Data 3.0 Self-Service Data Mesh Platform</w:t>
      </w:r>
    </w:p>
    <w:p>
      <w:pPr>
        <w:spacing w:before="0" w:after="480"/>
        <w:jc w:val="center"/>
      </w:pPr>
      <w:r>
        <w:rPr>
          <w:rFonts w:ascii="Arial" w:cs="Arial" w:eastAsia="Arial" w:hAnsi="Arial"/>
          <w:i/>
          <w:iCs/>
          <w:color w:val="6B7280"/>
          <w:sz w:val="28"/>
          <w:szCs w:val="28"/>
        </w:rPr>
        <w:t xml:space="preserve">Product Requirements Document</w:t>
      </w:r>
    </w:p>
    <w:p>
      <w:pPr>
        <w:pBdr>
          <w:bottom w:val="single" w:color="2E75B6" w:sz="6" w:space="1"/>
        </w:pBdr>
        <w:spacing w:before="160" w:after="160"/>
      </w:pPr>
      <w:r>
        <w:t xml:space="preserve"/>
      </w:r>
    </w:p>
    <w:p>
      <w:pPr>
        <w:spacing w:before="240" w:after="80"/>
        <w:jc w:val="center"/>
      </w:pPr>
      <w:r>
        <w:rPr>
          <w:rFonts w:ascii="Arial" w:cs="Arial" w:eastAsia="Arial" w:hAnsi="Arial"/>
          <w:color w:val="6B7280"/>
          <w:sz w:val="22"/>
          <w:szCs w:val="22"/>
        </w:rPr>
        <w:t xml:space="preserve">Version 1.0  —  MVP Release</w:t>
      </w:r>
    </w:p>
    <w:p>
      <w:pPr>
        <w:spacing w:before="80" w:after="0"/>
        <w:jc w:val="center"/>
      </w:pPr>
      <w:r>
        <w:rPr>
          <w:rFonts w:ascii="Arial" w:cs="Arial" w:eastAsia="Arial" w:hAnsi="Arial"/>
          <w:b/>
          <w:bCs/>
          <w:color w:val="EF4444"/>
          <w:sz w:val="20"/>
          <w:szCs w:val="20"/>
        </w:rPr>
        <w:t xml:space="preserve">Confidential — Not for Distribution</w:t>
      </w:r>
    </w:p>
    <w:p>
      <w:r>
        <w:br w:type="page"/>
      </w:r>
    </w:p>
    <w:p>
      <w:pPr>
        <w:pStyle w:val="Heading1"/>
        <w:pageBreakBefore/>
        <w:spacing w:before="0" w:after="200"/>
      </w:pPr>
      <w:r>
        <w:rPr>
          <w:rFonts w:ascii="Arial" w:cs="Arial" w:eastAsia="Arial" w:hAnsi="Arial"/>
          <w:b/>
          <w:bCs/>
          <w:color w:val="1B3A6B"/>
          <w:sz w:val="36"/>
          <w:szCs w:val="36"/>
        </w:rPr>
        <w:t xml:space="preserve">Executive Summary</w:t>
      </w:r>
    </w:p>
    <w:p>
      <w:pPr>
        <w:pBdr>
          <w:bottom w:val="single" w:color="2E75B6" w:sz="6" w:space="1"/>
        </w:pBdr>
        <w:spacing w:before="160" w:after="160"/>
      </w:pPr>
      <w:r>
        <w:t xml:space="preserve"/>
      </w:r>
    </w:p>
    <w:p>
      <w:pPr>
        <w:spacing w:before="60" w:after="80"/>
      </w:pPr>
      <w:r>
        <w:rPr>
          <w:rFonts w:ascii="Arial" w:cs="Arial" w:eastAsia="Arial" w:hAnsi="Arial"/>
          <w:color w:val="111827"/>
          <w:sz w:val="20"/>
          <w:szCs w:val="20"/>
        </w:rPr>
        <w:t xml:space="preserve">MeshOS is a cloud-native, multi-tenant self-service data mesh platform designed for the Data 3.0 era. It is the first platform purpose-built to treat AI agents as first-class participants alongside human domain teams, consumers, and governance boards in a federated data mesh architecture.</w:t>
      </w:r>
    </w:p>
    <w:p>
      <w:pPr>
        <w:spacing w:before="80" w:after="120"/>
      </w:pPr>
      <w:r>
        <w:t xml:space="preserve"/>
      </w:r>
    </w:p>
    <w:p>
      <w:pPr>
        <w:spacing w:before="60" w:after="80"/>
      </w:pPr>
      <w:r>
        <w:rPr>
          <w:rFonts w:ascii="Arial" w:cs="Arial" w:eastAsia="Arial" w:hAnsi="Arial"/>
          <w:color w:val="111827"/>
          <w:sz w:val="20"/>
          <w:szCs w:val="20"/>
        </w:rPr>
        <w:t xml:space="preserve">The platform embodies the data mesh principles articulated by Zhamak Dehghani — domain ownership, data as a product, self-serve infrastructure, and federated computational governance — while extending them for the agentic AI era through a dual consumption model: human consumers connect directly to data product output ports; AI agents interact through a governed, policy-aware federated semantic query layer.</w:t>
      </w:r>
    </w:p>
    <w:p>
      <w:pPr>
        <w:spacing w:before="80" w:after="120"/>
      </w:pPr>
      <w:r>
        <w:t xml:space="preserve"/>
      </w:r>
    </w:p>
    <w:p>
      <w:pPr>
        <w:spacing w:before="60" w:after="80"/>
      </w:pPr>
      <w:r>
        <w:rPr>
          <w:rFonts w:ascii="Arial" w:cs="Arial" w:eastAsia="Arial" w:hAnsi="Arial"/>
          <w:color w:val="111827"/>
          <w:sz w:val="20"/>
          <w:szCs w:val="20"/>
        </w:rPr>
        <w:t xml:space="preserve">MeshOS is a coordination and contract platform. It does not store data, execute pipelines, or provide a centralized query engine for human consumers. It owns the contracts between domains, the lineage graph that connects them, and the governance engine that makes the mesh trustworthy.</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Five Foundational Design Principles</w:t>
      </w:r>
    </w:p>
    <w:p>
      <w:pPr>
        <w:pStyle w:val="ListParagraph"/>
        <w:numPr>
          <w:ilvl w:val="0"/>
          <w:numId w:val="2"/>
        </w:numPr>
        <w:spacing w:before="40" w:after="40"/>
      </w:pPr>
      <w:r>
        <w:rPr>
          <w:rFonts w:ascii="Arial" w:cs="Arial" w:eastAsia="Arial" w:hAnsi="Arial"/>
          <w:color w:val="111827"/>
          <w:sz w:val="20"/>
          <w:szCs w:val="20"/>
        </w:rPr>
        <w:t xml:space="preserve">Domain sovereignty with interoperability contracts — domains own their data and pipelines; the platform owns the contracts between them and the lineage graph that connects them.</w:t>
      </w:r>
    </w:p>
    <w:p>
      <w:pPr>
        <w:pStyle w:val="ListParagraph"/>
        <w:numPr>
          <w:ilvl w:val="0"/>
          <w:numId w:val="2"/>
        </w:numPr>
        <w:spacing w:before="40" w:after="40"/>
      </w:pPr>
      <w:r>
        <w:rPr>
          <w:rFonts w:ascii="Arial" w:cs="Arial" w:eastAsia="Arial" w:hAnsi="Arial"/>
          <w:color w:val="111827"/>
          <w:sz w:val="20"/>
          <w:szCs w:val="20"/>
        </w:rPr>
        <w:t xml:space="preserve">Ports are definitional — a dataset without explicit ports is not a data product on this platform.</w:t>
      </w:r>
    </w:p>
    <w:p>
      <w:pPr>
        <w:pStyle w:val="ListParagraph"/>
        <w:numPr>
          <w:ilvl w:val="0"/>
          <w:numId w:val="2"/>
        </w:numPr>
        <w:spacing w:before="40" w:after="40"/>
      </w:pPr>
      <w:r>
        <w:rPr>
          <w:rFonts w:ascii="Arial" w:cs="Arial" w:eastAsia="Arial" w:hAnsi="Arial"/>
          <w:color w:val="111827"/>
          <w:sz w:val="20"/>
          <w:szCs w:val="20"/>
        </w:rPr>
        <w:t xml:space="preserve">Governance as a policy engine — the federated governance team defines a minimum viable policy floor; domains extend upward; the platform enforces both computationally, never manually.</w:t>
      </w:r>
    </w:p>
    <w:p>
      <w:pPr>
        <w:pStyle w:val="ListParagraph"/>
        <w:numPr>
          <w:ilvl w:val="0"/>
          <w:numId w:val="2"/>
        </w:numPr>
        <w:spacing w:before="40" w:after="40"/>
      </w:pPr>
      <w:r>
        <w:rPr>
          <w:rFonts w:ascii="Arial" w:cs="Arial" w:eastAsia="Arial" w:hAnsi="Arial"/>
          <w:color w:val="111827"/>
          <w:sz w:val="20"/>
          <w:szCs w:val="20"/>
        </w:rPr>
        <w:t xml:space="preserve">Dual consumption model — humans discover and connect to output ports directly; AI agents interact through a semantic federated query layer that is policy-aware in real time.</w:t>
      </w:r>
    </w:p>
    <w:p>
      <w:pPr>
        <w:pStyle w:val="ListParagraph"/>
        <w:numPr>
          <w:ilvl w:val="0"/>
          <w:numId w:val="2"/>
        </w:numPr>
        <w:spacing w:before="40" w:after="40"/>
      </w:pPr>
      <w:r>
        <w:rPr>
          <w:rFonts w:ascii="Arial" w:cs="Arial" w:eastAsia="Arial" w:hAnsi="Arial"/>
          <w:color w:val="111827"/>
          <w:sz w:val="20"/>
          <w:szCs w:val="20"/>
        </w:rPr>
        <w:t xml:space="preserve">Lineage by emission, not capture — the platform assembles a complete lineage graph from events emitted by domain pipelines and agent reasoning traces without owning pipeline execution.</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Four Personas — In Priority Order for Data 3.0</w:t>
      </w:r>
    </w:p>
    <w:p>
      <w:pPr>
        <w:pStyle w:val="ListParagraph"/>
        <w:numPr>
          <w:ilvl w:val="0"/>
          <w:numId w:val="2"/>
        </w:numPr>
        <w:spacing w:before="40" w:after="40"/>
      </w:pPr>
      <w:r>
        <w:rPr>
          <w:rFonts w:ascii="Arial" w:cs="Arial" w:eastAsia="Arial" w:hAnsi="Arial"/>
          <w:color w:val="111827"/>
          <w:sz w:val="20"/>
          <w:szCs w:val="20"/>
        </w:rPr>
        <w:t xml:space="preserve">AI Agents — autonomous consumers and potential producers of data products.</w:t>
      </w:r>
    </w:p>
    <w:p>
      <w:pPr>
        <w:pStyle w:val="ListParagraph"/>
        <w:numPr>
          <w:ilvl w:val="0"/>
          <w:numId w:val="2"/>
        </w:numPr>
        <w:spacing w:before="40" w:after="40"/>
      </w:pPr>
      <w:r>
        <w:rPr>
          <w:rFonts w:ascii="Arial" w:cs="Arial" w:eastAsia="Arial" w:hAnsi="Arial"/>
          <w:color w:val="111827"/>
          <w:sz w:val="20"/>
          <w:szCs w:val="20"/>
        </w:rPr>
        <w:t xml:space="preserve">Domain Teams — human owners and publishers of data products.</w:t>
      </w:r>
    </w:p>
    <w:p>
      <w:pPr>
        <w:pStyle w:val="ListParagraph"/>
        <w:numPr>
          <w:ilvl w:val="0"/>
          <w:numId w:val="2"/>
        </w:numPr>
        <w:spacing w:before="40" w:after="40"/>
      </w:pPr>
      <w:r>
        <w:rPr>
          <w:rFonts w:ascii="Arial" w:cs="Arial" w:eastAsia="Arial" w:hAnsi="Arial"/>
          <w:color w:val="111827"/>
          <w:sz w:val="20"/>
          <w:szCs w:val="20"/>
        </w:rPr>
        <w:t xml:space="preserve">Data Consumers — human discoverers and users of data products.</w:t>
      </w:r>
    </w:p>
    <w:p>
      <w:pPr>
        <w:pStyle w:val="ListParagraph"/>
        <w:numPr>
          <w:ilvl w:val="0"/>
          <w:numId w:val="2"/>
        </w:numPr>
        <w:spacing w:before="40" w:after="40"/>
      </w:pPr>
      <w:r>
        <w:rPr>
          <w:rFonts w:ascii="Arial" w:cs="Arial" w:eastAsia="Arial" w:hAnsi="Arial"/>
          <w:color w:val="111827"/>
          <w:sz w:val="20"/>
          <w:szCs w:val="20"/>
        </w:rPr>
        <w:t xml:space="preserve">Governance Teams — policy authors and compliance monitors.</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Deployment Model</w:t>
      </w:r>
    </w:p>
    <w:p>
      <w:pPr>
        <w:spacing w:before="60" w:after="80"/>
      </w:pPr>
      <w:r>
        <w:rPr>
          <w:rFonts w:ascii="Arial" w:cs="Arial" w:eastAsia="Arial" w:hAnsi="Arial"/>
          <w:color w:val="111827"/>
          <w:sz w:val="20"/>
          <w:szCs w:val="20"/>
        </w:rPr>
        <w:t xml:space="preserve">Cloud-native SaaS, multi-tenant. The control plane is fully managed SaaS. The data plane remains in each domain's own infrastructure regardless of cloud provider. No data ever transits the MeshOS platform — only metadata, contracts, lineage events, and observability signals.</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MVP Scale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MVP Target</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Domains per organization</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Up to 200</w:t>
            </w:r>
          </w:p>
        </w:tc>
      </w:tr>
      <w:tr>
        <w:tc>
          <w:tcPr>
            <w:tcW w:type="dxa" w:w="4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products per organization</w:t>
            </w:r>
          </w:p>
        </w:tc>
        <w:tc>
          <w:tcPr>
            <w:tcW w:type="dxa" w:w="5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Up to 50,000</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graph nodes per organization</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Up to 5,000,000</w:t>
            </w:r>
          </w:p>
        </w:tc>
      </w:tr>
      <w:tr>
        <w:tc>
          <w:tcPr>
            <w:tcW w:type="dxa" w:w="4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graph edges per organization</w:t>
            </w:r>
          </w:p>
        </w:tc>
        <w:tc>
          <w:tcPr>
            <w:tcW w:type="dxa" w:w="5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Up to 20,000,000</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Concurrent agent query sessions per organization</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10,000</w:t>
            </w:r>
          </w:p>
        </w:tc>
      </w:tr>
      <w:tr>
        <w:tc>
          <w:tcPr>
            <w:tcW w:type="dxa" w:w="4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emission throughput per organization</w:t>
            </w:r>
          </w:p>
        </w:tc>
        <w:tc>
          <w:tcPr>
            <w:tcW w:type="dxa" w:w="5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10,000 events/second</w:t>
            </w:r>
          </w:p>
        </w:tc>
      </w:tr>
    </w:tbl>
    <w:p>
      <w:pPr>
        <w:pStyle w:val="Heading1"/>
        <w:pageBreakBefore/>
        <w:spacing w:before="0" w:after="200"/>
      </w:pPr>
      <w:r>
        <w:rPr>
          <w:rFonts w:ascii="Arial" w:cs="Arial" w:eastAsia="Arial" w:hAnsi="Arial"/>
          <w:b/>
          <w:bCs/>
          <w:color w:val="1B3A6B"/>
          <w:sz w:val="36"/>
          <w:szCs w:val="36"/>
        </w:rPr>
        <w:t xml:space="preserve">Conceptual Architecture</w:t>
      </w:r>
    </w:p>
    <w:p>
      <w:pPr>
        <w:pBdr>
          <w:bottom w:val="single" w:color="2E75B6" w:sz="6" w:space="1"/>
        </w:pBdr>
        <w:spacing w:before="160" w:after="160"/>
      </w:pPr>
      <w:r>
        <w:t xml:space="preserve"/>
      </w:r>
    </w:p>
    <w:p>
      <w:pPr>
        <w:pStyle w:val="Heading2"/>
        <w:spacing w:before="320" w:after="160"/>
      </w:pPr>
      <w:r>
        <w:rPr>
          <w:rFonts w:ascii="Arial" w:cs="Arial" w:eastAsia="Arial" w:hAnsi="Arial"/>
          <w:b/>
          <w:bCs/>
          <w:color w:val="2E75B6"/>
          <w:sz w:val="26"/>
          <w:szCs w:val="26"/>
        </w:rPr>
        <w:t xml:space="preserve">What MeshOS Is</w:t>
      </w:r>
    </w:p>
    <w:p>
      <w:pPr>
        <w:spacing w:before="60" w:after="80"/>
      </w:pPr>
      <w:r>
        <w:rPr>
          <w:rFonts w:ascii="Arial" w:cs="Arial" w:eastAsia="Arial" w:hAnsi="Arial"/>
          <w:color w:val="111827"/>
          <w:sz w:val="20"/>
          <w:szCs w:val="20"/>
        </w:rPr>
        <w:t xml:space="preserve">A cloud-native, multi-tenant self-service data mesh platform built for Data 3.0. AI agents are first-class participants alongside human domain teams, consumers, and governance boards. It is a coordination and contract platform — not a compute or storage platform.</w:t>
      </w:r>
    </w:p>
    <w:p>
      <w:pPr>
        <w:spacing w:before="80" w:after="120"/>
      </w:pPr>
      <w:r>
        <w:t xml:space="preserve"/>
      </w:r>
    </w:p>
    <w:p>
      <w:pPr>
        <w:pStyle w:val="Heading2"/>
        <w:spacing w:before="320" w:after="160"/>
      </w:pPr>
      <w:r>
        <w:rPr>
          <w:rFonts w:ascii="Arial" w:cs="Arial" w:eastAsia="Arial" w:hAnsi="Arial"/>
          <w:b/>
          <w:bCs/>
          <w:color w:val="2E75B6"/>
          <w:sz w:val="26"/>
          <w:szCs w:val="26"/>
        </w:rPr>
        <w:t xml:space="preserve">What MeshOS Is Not</w:t>
      </w:r>
    </w:p>
    <w:p>
      <w:pPr>
        <w:pStyle w:val="ListParagraph"/>
        <w:numPr>
          <w:ilvl w:val="0"/>
          <w:numId w:val="2"/>
        </w:numPr>
        <w:spacing w:before="40" w:after="40"/>
      </w:pPr>
      <w:r>
        <w:rPr>
          <w:rFonts w:ascii="Arial" w:cs="Arial" w:eastAsia="Arial" w:hAnsi="Arial"/>
          <w:color w:val="111827"/>
          <w:sz w:val="20"/>
          <w:szCs w:val="20"/>
        </w:rPr>
        <w:t xml:space="preserve">A data warehouse or data lake</w:t>
      </w:r>
    </w:p>
    <w:p>
      <w:pPr>
        <w:pStyle w:val="ListParagraph"/>
        <w:numPr>
          <w:ilvl w:val="0"/>
          <w:numId w:val="2"/>
        </w:numPr>
        <w:spacing w:before="40" w:after="40"/>
      </w:pPr>
      <w:r>
        <w:rPr>
          <w:rFonts w:ascii="Arial" w:cs="Arial" w:eastAsia="Arial" w:hAnsi="Arial"/>
          <w:color w:val="111827"/>
          <w:sz w:val="20"/>
          <w:szCs w:val="20"/>
        </w:rPr>
        <w:t xml:space="preserve">A pipeline orchestrator or ETL engine</w:t>
      </w:r>
    </w:p>
    <w:p>
      <w:pPr>
        <w:pStyle w:val="ListParagraph"/>
        <w:numPr>
          <w:ilvl w:val="0"/>
          <w:numId w:val="2"/>
        </w:numPr>
        <w:spacing w:before="40" w:after="40"/>
      </w:pPr>
      <w:r>
        <w:rPr>
          <w:rFonts w:ascii="Arial" w:cs="Arial" w:eastAsia="Arial" w:hAnsi="Arial"/>
          <w:color w:val="111827"/>
          <w:sz w:val="20"/>
          <w:szCs w:val="20"/>
        </w:rPr>
        <w:t xml:space="preserve">A centralized query engine for human consumers</w:t>
      </w:r>
    </w:p>
    <w:p>
      <w:pPr>
        <w:pStyle w:val="ListParagraph"/>
        <w:numPr>
          <w:ilvl w:val="0"/>
          <w:numId w:val="2"/>
        </w:numPr>
        <w:spacing w:before="40" w:after="40"/>
      </w:pPr>
      <w:r>
        <w:rPr>
          <w:rFonts w:ascii="Arial" w:cs="Arial" w:eastAsia="Arial" w:hAnsi="Arial"/>
          <w:color w:val="111827"/>
          <w:sz w:val="20"/>
          <w:szCs w:val="20"/>
        </w:rPr>
        <w:t xml:space="preserve">A traditional data catalog</w:t>
      </w:r>
    </w:p>
    <w:p>
      <w:pPr>
        <w:pStyle w:val="ListParagraph"/>
        <w:numPr>
          <w:ilvl w:val="0"/>
          <w:numId w:val="2"/>
        </w:numPr>
        <w:spacing w:before="40" w:after="40"/>
      </w:pPr>
      <w:r>
        <w:rPr>
          <w:rFonts w:ascii="Arial" w:cs="Arial" w:eastAsia="Arial" w:hAnsi="Arial"/>
          <w:color w:val="111827"/>
          <w:sz w:val="20"/>
          <w:szCs w:val="20"/>
        </w:rPr>
        <w:t xml:space="preserve">A data quality computation engine</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Four Architectural Layers</w:t>
      </w:r>
    </w:p>
    <w:p>
      <w:pPr>
        <w:pStyle w:val="Heading3"/>
        <w:spacing w:before="240" w:after="120"/>
      </w:pPr>
      <w:r>
        <w:rPr>
          <w:rFonts w:ascii="Arial" w:cs="Arial" w:eastAsia="Arial" w:hAnsi="Arial"/>
          <w:b/>
          <w:bCs/>
          <w:color w:val="00A9A5"/>
          <w:sz w:val="22"/>
          <w:szCs w:val="22"/>
        </w:rPr>
        <w:t xml:space="preserve">1. Domain Autonomy Layer</w:t>
      </w:r>
    </w:p>
    <w:p>
      <w:pPr>
        <w:spacing w:before="60" w:after="80"/>
      </w:pPr>
      <w:r>
        <w:rPr>
          <w:rFonts w:ascii="Arial" w:cs="Arial" w:eastAsia="Arial" w:hAnsi="Arial"/>
          <w:color w:val="111827"/>
          <w:sz w:val="20"/>
          <w:szCs w:val="20"/>
        </w:rPr>
        <w:t xml:space="preserve">Each domain owns its namespace, compute, and publishing cadence. The platform enforces just enough standardization for interoperability while leaving maximum implementation flexibility. The analogy is the web — HTTP and URLs are mandatory, everything else is the domain's choice.</w:t>
      </w:r>
    </w:p>
    <w:p>
      <w:pPr>
        <w:pStyle w:val="Heading3"/>
        <w:spacing w:before="240" w:after="120"/>
      </w:pPr>
      <w:r>
        <w:rPr>
          <w:rFonts w:ascii="Arial" w:cs="Arial" w:eastAsia="Arial" w:hAnsi="Arial"/>
          <w:b/>
          <w:bCs/>
          <w:color w:val="00A9A5"/>
          <w:sz w:val="22"/>
          <w:szCs w:val="22"/>
        </w:rPr>
        <w:t xml:space="preserve">2. Data Product Runtime</w:t>
      </w:r>
    </w:p>
    <w:p>
      <w:pPr>
        <w:spacing w:before="60" w:after="80"/>
      </w:pPr>
      <w:r>
        <w:rPr>
          <w:rFonts w:ascii="Arial" w:cs="Arial" w:eastAsia="Arial" w:hAnsi="Arial"/>
          <w:color w:val="111827"/>
          <w:sz w:val="20"/>
          <w:szCs w:val="20"/>
        </w:rPr>
        <w:t xml:space="preserve">The heart of the platform. A data product is a dataset plus its contract. The runtime makes the contract a living, enforced thing: SLOs that surface violations, schemas that gate consumption, lineage that is captured automatically. Product definitions are code-first, versionable, and API-submittable.</w:t>
      </w:r>
    </w:p>
    <w:p>
      <w:pPr>
        <w:pStyle w:val="Heading3"/>
        <w:spacing w:before="240" w:after="120"/>
      </w:pPr>
      <w:r>
        <w:rPr>
          <w:rFonts w:ascii="Arial" w:cs="Arial" w:eastAsia="Arial" w:hAnsi="Arial"/>
          <w:b/>
          <w:bCs/>
          <w:color w:val="00A9A5"/>
          <w:sz w:val="22"/>
          <w:szCs w:val="22"/>
        </w:rPr>
        <w:t xml:space="preserve">3. Federated Governance Engine</w:t>
      </w:r>
    </w:p>
    <w:p>
      <w:pPr>
        <w:spacing w:before="60" w:after="80"/>
      </w:pPr>
      <w:r>
        <w:rPr>
          <w:rFonts w:ascii="Arial" w:cs="Arial" w:eastAsia="Arial" w:hAnsi="Arial"/>
          <w:color w:val="111827"/>
          <w:sz w:val="20"/>
          <w:szCs w:val="20"/>
        </w:rPr>
        <w:t xml:space="preserve">Governance rules are data — configured through a declarative UI and stored as versioned policy artifacts. The governance team publishes policies; the platform enforces them automatically. The floor is non-negotiable; domains extend upward.</w:t>
      </w:r>
    </w:p>
    <w:p>
      <w:pPr>
        <w:pStyle w:val="Heading3"/>
        <w:spacing w:before="240" w:after="120"/>
      </w:pPr>
      <w:r>
        <w:rPr>
          <w:rFonts w:ascii="Arial" w:cs="Arial" w:eastAsia="Arial" w:hAnsi="Arial"/>
          <w:b/>
          <w:bCs/>
          <w:color w:val="00A9A5"/>
          <w:sz w:val="22"/>
          <w:szCs w:val="22"/>
        </w:rPr>
        <w:t xml:space="preserve">4. Self-Service Mesh Plane</w:t>
      </w:r>
    </w:p>
    <w:p>
      <w:pPr>
        <w:spacing w:before="60" w:after="80"/>
      </w:pPr>
      <w:r>
        <w:rPr>
          <w:rFonts w:ascii="Arial" w:cs="Arial" w:eastAsia="Arial" w:hAnsi="Arial"/>
          <w:color w:val="111827"/>
          <w:sz w:val="20"/>
          <w:szCs w:val="20"/>
        </w:rPr>
        <w:t xml:space="preserve">The experience layer connecting consumers to producers without requiring a centralized team. Discovery, access, contract negotiation, and consumption happen here. A domain team publishes a product and it is discoverable and consumable without any central team involvement.</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Dual Consumption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Consumer Type</w:t>
            </w:r>
          </w:p>
        </w:tc>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Access Pattern</w:t>
            </w:r>
          </w:p>
        </w:tc>
        <w:tc>
          <w:tcPr>
            <w:tcW w:type="dxa" w:w="3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Human consumers</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Connect directly to data product output ports. Platform brokers discovery and access; consumer queries natively.</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Consistent with Zhamak's framework. Avoids centralized query bottleneck.</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AI agents</w:t>
            </w:r>
          </w:p>
        </w:tc>
        <w:tc>
          <w:tcPr>
            <w:tcW w:type="dxa" w:w="4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Interact through a semantic federated query layer. One interface, one identity, one access model across all authorized products.</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Agents need cross-product reasoning without managing N connections. Federation layer enforces policy in real time.</w:t>
            </w:r>
          </w:p>
        </w:tc>
      </w:tr>
    </w:tbl>
    <w:p>
      <w:pPr>
        <w:pStyle w:val="Heading1"/>
        <w:pageBreakBefore/>
        <w:spacing w:before="0" w:after="200"/>
      </w:pPr>
      <w:r>
        <w:rPr>
          <w:rFonts w:ascii="Arial" w:cs="Arial" w:eastAsia="Arial" w:hAnsi="Arial"/>
          <w:b/>
          <w:bCs/>
          <w:color w:val="1B3A6B"/>
          <w:sz w:val="36"/>
          <w:szCs w:val="36"/>
        </w:rPr>
        <w:t xml:space="preserve">Requirement Conventions</w:t>
      </w:r>
    </w:p>
    <w:p>
      <w:pPr>
        <w:pBdr>
          <w:bottom w:val="single" w:color="2E75B6" w:sz="6" w:space="1"/>
        </w:pBdr>
        <w:spacing w:before="160" w:after="160"/>
      </w:pPr>
      <w:r>
        <w:t xml:space="preserve"/>
      </w:r>
    </w:p>
    <w:p>
      <w:pPr>
        <w:spacing w:before="60" w:after="80"/>
      </w:pPr>
      <w:r>
        <w:rPr>
          <w:rFonts w:ascii="Arial" w:cs="Arial" w:eastAsia="Arial" w:hAnsi="Arial"/>
          <w:color w:val="111827"/>
          <w:sz w:val="20"/>
          <w:szCs w:val="20"/>
        </w:rPr>
        <w:t xml:space="preserve">Requirements are organized across seven domains. Each domain contains Functional Requirements (F), Non-Functional Requirements (NF), and explicit Out of Scope statements (OS).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Prefix</w:t>
            </w:r>
          </w:p>
        </w:tc>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Capabilities the platform shall provide.</w:t>
            </w:r>
          </w:p>
        </w:tc>
      </w:tr>
      <w:tr>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Performance, scale, reliability, and quality attributes.</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Explicitly excluded from MVP scope. Some flagged for post-MVP.</w:t>
            </w:r>
          </w:p>
        </w:tc>
      </w:tr>
    </w:tbl>
    <w:p>
      <w:pPr>
        <w:spacing w:before="160" w:after="120"/>
      </w:pPr>
      <w:r>
        <w:t xml:space="preserve"/>
      </w:r>
    </w:p>
    <w:p>
      <w:pPr>
        <w:spacing w:before="60" w:after="80"/>
      </w:pPr>
      <w:r>
        <w:rPr>
          <w:rFonts w:ascii="Arial" w:cs="Arial" w:eastAsia="Arial" w:hAnsi="Arial"/>
          <w:color w:val="111827"/>
          <w:sz w:val="20"/>
          <w:szCs w:val="20"/>
        </w:rPr>
        <w:t xml:space="preserve">Requirement IDs follow the format {PREFIX}{DOMAIN}.{NUMBER} — e.g., F2.3 is Functional Requirement 3 in Domain 2.</w:t>
      </w:r>
    </w:p>
    <w:p>
      <w:pPr>
        <w:spacing w:before="80" w:after="120"/>
      </w:pPr>
      <w:r>
        <w:t xml:space="preserve"/>
      </w:r>
    </w:p>
    <w:p>
      <w:pPr>
        <w:spacing w:before="60" w:after="80"/>
      </w:pPr>
      <w:r>
        <w:rPr>
          <w:rFonts w:ascii="Arial" w:cs="Arial" w:eastAsia="Arial" w:hAnsi="Arial"/>
          <w:color w:val="111827"/>
          <w:sz w:val="20"/>
          <w:szCs w:val="20"/>
        </w:rPr>
        <w:t xml:space="preserve">The word "shall" denotes a mandatory requirement. The word "should" denotes a strong recommendation. The word "may" denotes an optional capability.</w:t>
      </w:r>
    </w:p>
    <w:p>
      <w:pPr>
        <w:spacing w:before="0" w:after="60"/>
      </w:pPr>
      <w:r>
        <w:rPr>
          <w:rFonts w:ascii="Arial" w:cs="Arial" w:eastAsia="Arial" w:hAnsi="Arial"/>
          <w:b/>
          <w:bCs/>
          <w:color w:val="00A9A5"/>
          <w:sz w:val="20"/>
          <w:szCs w:val="20"/>
        </w:rPr>
        <w:t xml:space="preserve">Domain 1</w:t>
      </w:r>
    </w:p>
    <w:p>
      <w:pPr>
        <w:pStyle w:val="Heading1"/>
        <w:pageBreakBefore/>
        <w:spacing w:before="0" w:after="180"/>
      </w:pPr>
      <w:r>
        <w:rPr>
          <w:rFonts w:ascii="Arial" w:cs="Arial" w:eastAsia="Arial" w:hAnsi="Arial"/>
          <w:b/>
          <w:bCs/>
          <w:color w:val="1B3A6B"/>
          <w:sz w:val="36"/>
          <w:szCs w:val="36"/>
        </w:rPr>
        <w:t xml:space="preserve">Multi-Tenancy &amp; Organization Model</w:t>
      </w:r>
    </w:p>
    <w:p>
      <w:pPr>
        <w:spacing w:before="0" w:after="240"/>
      </w:pPr>
      <w:r>
        <w:rPr>
          <w:rFonts w:ascii="Arial" w:cs="Arial" w:eastAsia="Arial" w:hAnsi="Arial"/>
          <w:i/>
          <w:iCs/>
          <w:color w:val="6B7280"/>
          <w:sz w:val="20"/>
          <w:szCs w:val="20"/>
        </w:rPr>
        <w:t xml:space="preserve">Defines the tenant structure, domain namespacing, identity model, and organizational hierarchy that form the foundation for all other platform capabilities.</w:t>
      </w:r>
    </w:p>
    <w:p>
      <w:pPr>
        <w:pBdr>
          <w:bottom w:val="single" w:color="2E75B6" w:sz="6" w:space="1"/>
        </w:pBdr>
        <w:spacing w:before="160" w:after="160"/>
      </w:pPr>
      <w:r>
        <w:t xml:space="preserve"/>
      </w:r>
    </w:p>
    <w:p>
      <w:pPr>
        <w:pStyle w:val="Heading2"/>
        <w:spacing w:before="320" w:after="160"/>
      </w:pPr>
      <w:r>
        <w:rPr>
          <w:rFonts w:ascii="Arial" w:cs="Arial" w:eastAsia="Arial" w:hAnsi="Arial"/>
          <w:b/>
          <w:bCs/>
          <w:color w:val="2E75B6"/>
          <w:sz w:val="26"/>
          <w:szCs w:val="26"/>
        </w:rPr>
        <w:t xml:space="preserve">Functional Requirements</w:t>
      </w:r>
    </w:p>
    <w:p>
      <w:pPr>
        <w:pStyle w:val="Heading3"/>
        <w:spacing w:before="240" w:after="120"/>
      </w:pPr>
      <w:r>
        <w:rPr>
          <w:rFonts w:ascii="Arial" w:cs="Arial" w:eastAsia="Arial" w:hAnsi="Arial"/>
          <w:b/>
          <w:bCs/>
          <w:color w:val="00A9A5"/>
          <w:sz w:val="22"/>
          <w:szCs w:val="22"/>
        </w:rPr>
        <w:t xml:space="preserve">Organization and Domain Structure</w:t>
      </w:r>
    </w:p>
    <w:p>
      <w:pPr>
        <w:spacing w:before="160" w:after="60"/>
        <w:ind w:left="0"/>
      </w:pPr>
      <w:r>
        <w:rPr>
          <w:rFonts w:ascii="Arial" w:cs="Arial" w:eastAsia="Arial" w:hAnsi="Arial"/>
          <w:b/>
          <w:bCs/>
          <w:color w:val="1B3A6B"/>
          <w:sz w:val="20"/>
          <w:szCs w:val="20"/>
        </w:rPr>
        <w:t xml:space="preserve">F1.1 — Organization as Top-Level Tenant</w:t>
      </w:r>
    </w:p>
    <w:p>
      <w:pPr>
        <w:spacing w:before="0" w:after="100"/>
        <w:ind w:left="360"/>
      </w:pPr>
      <w:r>
        <w:rPr>
          <w:rFonts w:ascii="Arial" w:cs="Arial" w:eastAsia="Arial" w:hAnsi="Arial"/>
          <w:color w:val="111827"/>
          <w:sz w:val="20"/>
          <w:szCs w:val="20"/>
        </w:rPr>
        <w:t xml:space="preserve">The platform shall support multiple organizations as fully isolated top-level tenants. No data, metadata, policy, or identity shall be shared across organization boundaries under any circumstance.</w:t>
      </w:r>
    </w:p>
    <w:p>
      <w:pPr>
        <w:spacing w:before="160" w:after="60"/>
        <w:ind w:left="0"/>
      </w:pPr>
      <w:r>
        <w:rPr>
          <w:rFonts w:ascii="Arial" w:cs="Arial" w:eastAsia="Arial" w:hAnsi="Arial"/>
          <w:b/>
          <w:bCs/>
          <w:color w:val="1B3A6B"/>
          <w:sz w:val="20"/>
          <w:szCs w:val="20"/>
        </w:rPr>
        <w:t xml:space="preserve">F1.2 — Domain as First-Class Entity</w:t>
      </w:r>
    </w:p>
    <w:p>
      <w:pPr>
        <w:spacing w:before="0" w:after="100"/>
        <w:ind w:left="360"/>
      </w:pPr>
      <w:r>
        <w:rPr>
          <w:rFonts w:ascii="Arial" w:cs="Arial" w:eastAsia="Arial" w:hAnsi="Arial"/>
          <w:color w:val="111827"/>
          <w:sz w:val="20"/>
          <w:szCs w:val="20"/>
        </w:rPr>
        <w:t xml:space="preserve">Within an organization, the platform shall support the creation and management of domains as first-class entities. A domain represents a bounded business context owned by a specific team and is the unit of data product ownership.</w:t>
      </w:r>
    </w:p>
    <w:p>
      <w:pPr>
        <w:spacing w:before="160" w:after="60"/>
        <w:ind w:left="0"/>
      </w:pPr>
      <w:r>
        <w:rPr>
          <w:rFonts w:ascii="Arial" w:cs="Arial" w:eastAsia="Arial" w:hAnsi="Arial"/>
          <w:b/>
          <w:bCs/>
          <w:color w:val="1B3A6B"/>
          <w:sz w:val="20"/>
          <w:szCs w:val="20"/>
        </w:rPr>
        <w:t xml:space="preserve">F1.3 — Domain Namespacing</w:t>
      </w:r>
    </w:p>
    <w:p>
      <w:pPr>
        <w:spacing w:before="0" w:after="100"/>
        <w:ind w:left="360"/>
      </w:pPr>
      <w:r>
        <w:rPr>
          <w:rFonts w:ascii="Arial" w:cs="Arial" w:eastAsia="Arial" w:hAnsi="Arial"/>
          <w:color w:val="111827"/>
          <w:sz w:val="20"/>
          <w:szCs w:val="20"/>
        </w:rPr>
        <w:t xml:space="preserve">Every domain shall have a globally unique, human-readable namespace within its organization. All data products, ports, and policies shall be addressable via a hierarchical namespace: {org}/{domain}/{product}/{port}.</w:t>
      </w:r>
    </w:p>
    <w:p>
      <w:pPr>
        <w:spacing w:before="160" w:after="60"/>
        <w:ind w:left="0"/>
      </w:pPr>
      <w:r>
        <w:rPr>
          <w:rFonts w:ascii="Arial" w:cs="Arial" w:eastAsia="Arial" w:hAnsi="Arial"/>
          <w:b/>
          <w:bCs/>
          <w:color w:val="1B3A6B"/>
          <w:sz w:val="20"/>
          <w:szCs w:val="20"/>
        </w:rPr>
        <w:t xml:space="preserve">F1.4 — Governance Layer as Distinct Entity</w:t>
      </w:r>
    </w:p>
    <w:p>
      <w:pPr>
        <w:spacing w:before="0" w:after="100"/>
        <w:ind w:left="360"/>
      </w:pPr>
      <w:r>
        <w:rPr>
          <w:rFonts w:ascii="Arial" w:cs="Arial" w:eastAsia="Arial" w:hAnsi="Arial"/>
          <w:color w:val="111827"/>
          <w:sz w:val="20"/>
          <w:szCs w:val="20"/>
        </w:rPr>
        <w:t xml:space="preserve">Each organization shall have exactly one federated governance layer — a distinct entity separate from all domains that holds authority to define and publish the minimum viable policy floor. The governance layer cannot own data products.</w:t>
      </w:r>
    </w:p>
    <w:p>
      <w:pPr>
        <w:spacing w:before="160" w:after="60"/>
        <w:ind w:left="0"/>
      </w:pPr>
      <w:r>
        <w:rPr>
          <w:rFonts w:ascii="Arial" w:cs="Arial" w:eastAsia="Arial" w:hAnsi="Arial"/>
          <w:b/>
          <w:bCs/>
          <w:color w:val="1B3A6B"/>
          <w:sz w:val="20"/>
          <w:szCs w:val="20"/>
        </w:rPr>
        <w:t xml:space="preserve">F1.5 — Identity and Principal Model</w:t>
      </w:r>
    </w:p>
    <w:p>
      <w:pPr>
        <w:spacing w:before="0" w:after="100"/>
        <w:ind w:left="360"/>
      </w:pPr>
      <w:r>
        <w:rPr>
          <w:rFonts w:ascii="Arial" w:cs="Arial" w:eastAsia="Arial" w:hAnsi="Arial"/>
          <w:color w:val="111827"/>
          <w:sz w:val="20"/>
          <w:szCs w:val="20"/>
        </w:rPr>
        <w:t xml:space="preserve">The platform shall support four distinct principal types: Human users, Service accounts (automated pipelines), AI agent identities (distinct from service accounts — see Domain 6), and Platform administrators (strictly separated from org-level governance).</w:t>
      </w:r>
    </w:p>
    <w:p>
      <w:pPr>
        <w:spacing w:before="160" w:after="60"/>
        <w:ind w:left="0"/>
      </w:pPr>
      <w:r>
        <w:rPr>
          <w:rFonts w:ascii="Arial" w:cs="Arial" w:eastAsia="Arial" w:hAnsi="Arial"/>
          <w:b/>
          <w:bCs/>
          <w:color w:val="1B3A6B"/>
          <w:sz w:val="20"/>
          <w:szCs w:val="20"/>
        </w:rPr>
        <w:t xml:space="preserve">F1.6 — Role Assignment</w:t>
      </w:r>
    </w:p>
    <w:p>
      <w:pPr>
        <w:spacing w:before="0" w:after="100"/>
        <w:ind w:left="360"/>
      </w:pPr>
      <w:r>
        <w:rPr>
          <w:rFonts w:ascii="Arial" w:cs="Arial" w:eastAsia="Arial" w:hAnsi="Arial"/>
          <w:color w:val="111827"/>
          <w:sz w:val="20"/>
          <w:szCs w:val="20"/>
        </w:rPr>
        <w:t xml:space="preserve">The platform shall support role assignment at organization, domain, and data product level. Minimum roles: Governance Author, Domain Owner, Data Product Owner, Data Product Consumer, Platform Observer. Role definitions shall be configurable by the governance layer.</w:t>
      </w:r>
    </w:p>
    <w:p>
      <w:pPr>
        <w:spacing w:before="160" w:after="60"/>
        <w:ind w:left="0"/>
      </w:pPr>
      <w:r>
        <w:rPr>
          <w:rFonts w:ascii="Arial" w:cs="Arial" w:eastAsia="Arial" w:hAnsi="Arial"/>
          <w:b/>
          <w:bCs/>
          <w:color w:val="1B3A6B"/>
          <w:sz w:val="20"/>
          <w:szCs w:val="20"/>
        </w:rPr>
        <w:t xml:space="preserve">F1.7 — Domain Autonomy Boundaries</w:t>
      </w:r>
    </w:p>
    <w:p>
      <w:pPr>
        <w:spacing w:before="0" w:after="100"/>
        <w:ind w:left="360"/>
      </w:pPr>
      <w:r>
        <w:rPr>
          <w:rFonts w:ascii="Arial" w:cs="Arial" w:eastAsia="Arial" w:hAnsi="Arial"/>
          <w:color w:val="111827"/>
          <w:sz w:val="20"/>
          <w:szCs w:val="20"/>
        </w:rPr>
        <w:t xml:space="preserve">No domain shall read, write, or administer another domain's internal configuration, pipelines, or unpublished data products. Cross-domain interaction is permitted only through published output ports.</w:t>
      </w:r>
    </w:p>
    <w:p>
      <w:pPr>
        <w:spacing w:before="160" w:after="60"/>
        <w:ind w:left="0"/>
      </w:pPr>
      <w:r>
        <w:rPr>
          <w:rFonts w:ascii="Arial" w:cs="Arial" w:eastAsia="Arial" w:hAnsi="Arial"/>
          <w:b/>
          <w:bCs/>
          <w:color w:val="1B3A6B"/>
          <w:sz w:val="20"/>
          <w:szCs w:val="20"/>
        </w:rPr>
        <w:t xml:space="preserve">F1.8 — Multi-Cloud Tenant Isolation</w:t>
      </w:r>
    </w:p>
    <w:p>
      <w:pPr>
        <w:spacing w:before="0" w:after="100"/>
        <w:ind w:left="360"/>
      </w:pPr>
      <w:r>
        <w:rPr>
          <w:rFonts w:ascii="Arial" w:cs="Arial" w:eastAsia="Arial" w:hAnsi="Arial"/>
          <w:color w:val="111827"/>
          <w:sz w:val="20"/>
          <w:szCs w:val="20"/>
        </w:rPr>
        <w:t xml:space="preserve">The platform shall support organizations whose data infrastructure spans multiple cloud providers. The control plane is SaaS; the data plane remains in the domain's own infrastructure regardless of cloud provider.</w:t>
      </w:r>
    </w:p>
    <w:p>
      <w:pPr>
        <w:spacing w:before="160" w:after="60"/>
        <w:ind w:left="0"/>
      </w:pPr>
      <w:r>
        <w:rPr>
          <w:rFonts w:ascii="Arial" w:cs="Arial" w:eastAsia="Arial" w:hAnsi="Arial"/>
          <w:b/>
          <w:bCs/>
          <w:color w:val="1B3A6B"/>
          <w:sz w:val="20"/>
          <w:szCs w:val="20"/>
        </w:rPr>
        <w:t xml:space="preserve">F1.9 — Self-Service Org Onboarding</w:t>
      </w:r>
    </w:p>
    <w:p>
      <w:pPr>
        <w:spacing w:before="0" w:after="100"/>
        <w:ind w:left="360"/>
      </w:pPr>
      <w:r>
        <w:rPr>
          <w:rFonts w:ascii="Arial" w:cs="Arial" w:eastAsia="Arial" w:hAnsi="Arial"/>
          <w:color w:val="111827"/>
          <w:sz w:val="20"/>
          <w:szCs w:val="20"/>
        </w:rPr>
        <w:t xml:space="preserve">New organization onboarding — including governance layer initialization, policy bootstrapping from templates, and first domain creation — shall require no platform operator involvement.</w:t>
      </w:r>
    </w:p>
    <w:p>
      <w:pPr>
        <w:spacing w:before="160" w:after="60"/>
        <w:ind w:left="0"/>
      </w:pPr>
      <w:r>
        <w:rPr>
          <w:rFonts w:ascii="Arial" w:cs="Arial" w:eastAsia="Arial" w:hAnsi="Arial"/>
          <w:b/>
          <w:bCs/>
          <w:color w:val="1B3A6B"/>
          <w:sz w:val="20"/>
          <w:szCs w:val="20"/>
        </w:rPr>
        <w:t xml:space="preserve">F1.10 — Domain Lifecycle Management</w:t>
      </w:r>
    </w:p>
    <w:p>
      <w:pPr>
        <w:spacing w:before="0" w:after="100"/>
        <w:ind w:left="360"/>
      </w:pPr>
      <w:r>
        <w:rPr>
          <w:rFonts w:ascii="Arial" w:cs="Arial" w:eastAsia="Arial" w:hAnsi="Arial"/>
          <w:color w:val="111827"/>
          <w:sz w:val="20"/>
          <w:szCs w:val="20"/>
        </w:rPr>
        <w:t xml:space="preserve">The platform shall support full domain lifecycle: creation, active operation, deprecation, and decommissioning. Decommissioning a domain with active consumers shall be blocked until all consumer dependencies are resolved or explicitly overridden by the governance layer.</w:t>
      </w:r>
    </w:p>
    <w:p>
      <w:pPr>
        <w:pStyle w:val="Heading2"/>
        <w:spacing w:before="320" w:after="160"/>
      </w:pPr>
      <w:r>
        <w:rPr>
          <w:rFonts w:ascii="Arial" w:cs="Arial" w:eastAsia="Arial" w:hAnsi="Arial"/>
          <w:b/>
          <w:bCs/>
          <w:color w:val="2E75B6"/>
          <w:sz w:val="26"/>
          <w:szCs w:val="26"/>
        </w:rPr>
        <w:t xml:space="preserve">Non-Functional Requirements</w:t>
      </w:r>
    </w:p>
    <w:p>
      <w:pPr>
        <w:spacing w:before="160" w:after="60"/>
      </w:pPr>
      <w:r>
        <w:rPr>
          <w:rFonts w:ascii="Arial" w:cs="Arial" w:eastAsia="Arial" w:hAnsi="Arial"/>
          <w:b/>
          <w:bCs/>
          <w:color w:val="2E75B6"/>
          <w:sz w:val="20"/>
          <w:szCs w:val="20"/>
        </w:rPr>
        <w:t xml:space="preserve">NF1.1 — Tenant Isolation</w:t>
      </w:r>
    </w:p>
    <w:p>
      <w:pPr>
        <w:spacing w:before="0" w:after="100"/>
        <w:ind w:left="360"/>
      </w:pPr>
      <w:r>
        <w:rPr>
          <w:rFonts w:ascii="Arial" w:cs="Arial" w:eastAsia="Arial" w:hAnsi="Arial"/>
          <w:color w:val="111827"/>
          <w:sz w:val="20"/>
          <w:szCs w:val="20"/>
        </w:rPr>
        <w:t xml:space="preserve">Organization data and metadata shall be cryptographically isolated at rest and in transit. A breach of one tenant shall not expose any other tenant's data or metadata.</w:t>
      </w:r>
    </w:p>
    <w:p>
      <w:pPr>
        <w:spacing w:before="160" w:after="60"/>
      </w:pPr>
      <w:r>
        <w:rPr>
          <w:rFonts w:ascii="Arial" w:cs="Arial" w:eastAsia="Arial" w:hAnsi="Arial"/>
          <w:b/>
          <w:bCs/>
          <w:color w:val="2E75B6"/>
          <w:sz w:val="20"/>
          <w:szCs w:val="20"/>
        </w:rPr>
        <w:t xml:space="preserve">NF1.2 — Scale</w:t>
      </w:r>
    </w:p>
    <w:p>
      <w:pPr>
        <w:spacing w:before="0" w:after="100"/>
        <w:ind w:left="360"/>
      </w:pPr>
      <w:r>
        <w:rPr>
          <w:rFonts w:ascii="Arial" w:cs="Arial" w:eastAsia="Arial" w:hAnsi="Arial"/>
          <w:color w:val="111827"/>
          <w:sz w:val="20"/>
          <w:szCs w:val="20"/>
        </w:rPr>
        <w:t xml:space="preserve">The platform shall support organizations with up to 200 domains and up to 50,000 data products per organization without degradation of control plane performance. Scale beyond these limits is documented as a known architectural growth path.</w:t>
      </w:r>
    </w:p>
    <w:p>
      <w:pPr>
        <w:spacing w:before="160" w:after="60"/>
      </w:pPr>
      <w:r>
        <w:rPr>
          <w:rFonts w:ascii="Arial" w:cs="Arial" w:eastAsia="Arial" w:hAnsi="Arial"/>
          <w:b/>
          <w:bCs/>
          <w:color w:val="2E75B6"/>
          <w:sz w:val="20"/>
          <w:szCs w:val="20"/>
        </w:rPr>
        <w:t xml:space="preserve">NF1.3 — Identity Federation</w:t>
      </w:r>
    </w:p>
    <w:p>
      <w:pPr>
        <w:spacing w:before="0" w:after="100"/>
        <w:ind w:left="360"/>
      </w:pPr>
      <w:r>
        <w:rPr>
          <w:rFonts w:ascii="Arial" w:cs="Arial" w:eastAsia="Arial" w:hAnsi="Arial"/>
          <w:color w:val="111827"/>
          <w:sz w:val="20"/>
          <w:szCs w:val="20"/>
        </w:rPr>
        <w:t xml:space="preserve">The platform shall support federation with external identity providers via OIDC and SAML 2.0. Organizations shall map existing IdP groups to platform roles without manual user-by-user assignment.</w:t>
      </w:r>
    </w:p>
    <w:p>
      <w:pPr>
        <w:spacing w:before="160" w:after="60"/>
      </w:pPr>
      <w:r>
        <w:rPr>
          <w:rFonts w:ascii="Arial" w:cs="Arial" w:eastAsia="Arial" w:hAnsi="Arial"/>
          <w:b/>
          <w:bCs/>
          <w:color w:val="2E75B6"/>
          <w:sz w:val="20"/>
          <w:szCs w:val="20"/>
        </w:rPr>
        <w:t xml:space="preserve">NF1.4 — Auditability</w:t>
      </w:r>
    </w:p>
    <w:p>
      <w:pPr>
        <w:spacing w:before="0" w:after="100"/>
        <w:ind w:left="360"/>
      </w:pPr>
      <w:r>
        <w:rPr>
          <w:rFonts w:ascii="Arial" w:cs="Arial" w:eastAsia="Arial" w:hAnsi="Arial"/>
          <w:color w:val="111827"/>
          <w:sz w:val="20"/>
          <w:szCs w:val="20"/>
        </w:rPr>
        <w:t xml:space="preserve">Every action by any principal — human, service account, or agent — shall produce an immutable audit log entry. Audit logs shall be exportable and retained for a configurable period with a minimum of 7 years.</w:t>
      </w:r>
    </w:p>
    <w:p>
      <w:pPr>
        <w:spacing w:before="160" w:after="60"/>
      </w:pPr>
      <w:r>
        <w:rPr>
          <w:rFonts w:ascii="Arial" w:cs="Arial" w:eastAsia="Arial" w:hAnsi="Arial"/>
          <w:b/>
          <w:bCs/>
          <w:color w:val="2E75B6"/>
          <w:sz w:val="20"/>
          <w:szCs w:val="20"/>
        </w:rPr>
        <w:t xml:space="preserve">NF1.5 — Availability</w:t>
      </w:r>
    </w:p>
    <w:p>
      <w:pPr>
        <w:spacing w:before="0" w:after="100"/>
        <w:ind w:left="360"/>
      </w:pPr>
      <w:r>
        <w:rPr>
          <w:rFonts w:ascii="Arial" w:cs="Arial" w:eastAsia="Arial" w:hAnsi="Arial"/>
          <w:color w:val="111827"/>
          <w:sz w:val="20"/>
          <w:szCs w:val="20"/>
        </w:rPr>
        <w:t xml:space="preserve">The control plane shall target 99.99% availability. Control plane outages shall not affect domain teams' ability to serve data through already-published output ports.</w:t>
      </w:r>
    </w:p>
    <w:p>
      <w:pPr>
        <w:pStyle w:val="Heading2"/>
        <w:spacing w:before="320" w:after="160"/>
      </w:pPr>
      <w:r>
        <w:rPr>
          <w:rFonts w:ascii="Arial" w:cs="Arial" w:eastAsia="Arial" w:hAnsi="Arial"/>
          <w:b/>
          <w:bCs/>
          <w:color w:val="2E75B6"/>
          <w:sz w:val="26"/>
          <w:szCs w:val="26"/>
        </w:rPr>
        <w:t xml:space="preserve">Out of Scope</w:t>
      </w:r>
    </w:p>
    <w:p>
      <w:pPr>
        <w:spacing w:before="80" w:after="80"/>
        <w:ind w:left="360"/>
      </w:pPr>
      <w:r>
        <w:rPr>
          <w:rFonts w:ascii="Courier New" w:cs="Courier New" w:eastAsia="Courier New" w:hAnsi="Courier New"/>
          <w:b/>
          <w:bCs/>
          <w:color w:val="EF4444"/>
          <w:sz w:val="18"/>
          <w:szCs w:val="18"/>
        </w:rPr>
        <w:t xml:space="preserve">OS1.1  </w:t>
      </w:r>
      <w:r>
        <w:rPr>
          <w:rFonts w:ascii="Arial" w:cs="Arial" w:eastAsia="Arial" w:hAnsi="Arial"/>
          <w:color w:val="111827"/>
          <w:sz w:val="20"/>
          <w:szCs w:val="20"/>
        </w:rPr>
        <w:t xml:space="preserve">Internal org structure and team membership management beyond role assignment.</w:t>
      </w:r>
    </w:p>
    <w:p>
      <w:pPr>
        <w:spacing w:before="80" w:after="80"/>
        <w:ind w:left="360"/>
      </w:pPr>
      <w:r>
        <w:rPr>
          <w:rFonts w:ascii="Courier New" w:cs="Courier New" w:eastAsia="Courier New" w:hAnsi="Courier New"/>
          <w:b/>
          <w:bCs/>
          <w:color w:val="EF4444"/>
          <w:sz w:val="18"/>
          <w:szCs w:val="18"/>
        </w:rPr>
        <w:t xml:space="preserve">OS1.2  </w:t>
      </w:r>
      <w:r>
        <w:rPr>
          <w:rFonts w:ascii="Arial" w:cs="Arial" w:eastAsia="Arial" w:hAnsi="Arial"/>
          <w:color w:val="111827"/>
          <w:sz w:val="20"/>
          <w:szCs w:val="20"/>
        </w:rPr>
        <w:t xml:space="preserve">Domain infrastructure provisioning and management (compute, storage, networking).</w:t>
      </w:r>
    </w:p>
    <w:p>
      <w:pPr>
        <w:spacing w:before="80" w:after="80"/>
        <w:ind w:left="360"/>
      </w:pPr>
      <w:r>
        <w:rPr>
          <w:rFonts w:ascii="Courier New" w:cs="Courier New" w:eastAsia="Courier New" w:hAnsi="Courier New"/>
          <w:b/>
          <w:bCs/>
          <w:color w:val="EF4444"/>
          <w:sz w:val="18"/>
          <w:szCs w:val="18"/>
        </w:rPr>
        <w:t xml:space="preserve">OS1.3  </w:t>
      </w:r>
      <w:r>
        <w:rPr>
          <w:rFonts w:ascii="Arial" w:cs="Arial" w:eastAsia="Arial" w:hAnsi="Arial"/>
          <w:color w:val="111827"/>
          <w:sz w:val="20"/>
          <w:szCs w:val="20"/>
        </w:rPr>
        <w:t xml:space="preserve">[POST-MVP] Sub-tenancy / business-unit hierarchy above the domain level. The org → domain → product hierarchy is the only supported model for MVP.</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Domain 1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F1.1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Organization as top-level tenant, fully isolated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F1.2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Domain as first-class entity within an org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F1.3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Hierarchical namespace: {org}/{domain}/{product}/{port}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F1.4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Governance layer as distinct entity, no product ownership</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F1.5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Four principal types: human, service account, AI agent, platform admin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F1.6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Role assignment at org, domain, and product level</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F1.7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Domain autonomy — cross-domain only via published output ports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F1.8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Multi-cloud data plane, single SaaS control plane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F1.9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Self-service org onboarding, no operator involvement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F1.10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Full domain lifecycle including decommissioning guard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NF1.1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Cryptographic tenant isolation at rest and in transit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NF1.2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MVP scale: 200 domains, 50,000 products per org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NF1.3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OIDC and SAML 2.0 identity federation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NF1.4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Immutable audit log, all principals, 7-year minimum retention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NF1.5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99.99% control plane availability, data plane unaffected by outages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OS1.1</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Internal org structure and team membership management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OS1.2</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Domain infrastructure provisioning and management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OS1.3</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Sub-tenancy / business-unit hierarchy — post-MVP</w:t>
            </w:r>
          </w:p>
        </w:tc>
      </w:tr>
    </w:tbl>
    <w:p>
      <w:pPr>
        <w:spacing w:before="0" w:after="60"/>
      </w:pPr>
      <w:r>
        <w:rPr>
          <w:rFonts w:ascii="Arial" w:cs="Arial" w:eastAsia="Arial" w:hAnsi="Arial"/>
          <w:b/>
          <w:bCs/>
          <w:color w:val="00A9A5"/>
          <w:sz w:val="20"/>
          <w:szCs w:val="20"/>
        </w:rPr>
        <w:t xml:space="preserve">Domain 2</w:t>
      </w:r>
    </w:p>
    <w:p>
      <w:pPr>
        <w:pStyle w:val="Heading1"/>
        <w:pageBreakBefore/>
        <w:spacing w:before="0" w:after="180"/>
      </w:pPr>
      <w:r>
        <w:rPr>
          <w:rFonts w:ascii="Arial" w:cs="Arial" w:eastAsia="Arial" w:hAnsi="Arial"/>
          <w:b/>
          <w:bCs/>
          <w:color w:val="1B3A6B"/>
          <w:sz w:val="36"/>
          <w:szCs w:val="36"/>
        </w:rPr>
        <w:t xml:space="preserve">Data Product Definition &amp; Lifecycle</w:t>
      </w:r>
    </w:p>
    <w:p>
      <w:pPr>
        <w:spacing w:before="0" w:after="240"/>
      </w:pPr>
      <w:r>
        <w:rPr>
          <w:rFonts w:ascii="Arial" w:cs="Arial" w:eastAsia="Arial" w:hAnsi="Arial"/>
          <w:i/>
          <w:iCs/>
          <w:color w:val="6B7280"/>
          <w:sz w:val="20"/>
          <w:szCs w:val="20"/>
        </w:rPr>
        <w:t xml:space="preserve">The heart of the platform. Defines the data product as a first-class entity, the port model, governance-configured product schemas, versioning, lifecycle states, and AI provenance requirements.</w:t>
      </w:r>
    </w:p>
    <w:p>
      <w:pPr>
        <w:pBdr>
          <w:bottom w:val="single" w:color="2E75B6" w:sz="6" w:space="1"/>
        </w:pBdr>
        <w:spacing w:before="160" w:after="160"/>
      </w:pPr>
      <w:r>
        <w:t xml:space="preserve"/>
      </w:r>
    </w:p>
    <w:p>
      <w:pPr>
        <w:pStyle w:val="Heading3"/>
        <w:spacing w:before="240" w:after="120"/>
      </w:pPr>
      <w:r>
        <w:rPr>
          <w:rFonts w:ascii="Arial" w:cs="Arial" w:eastAsia="Arial" w:hAnsi="Arial"/>
          <w:b/>
          <w:bCs/>
          <w:color w:val="00A9A5"/>
          <w:sz w:val="22"/>
          <w:szCs w:val="22"/>
        </w:rPr>
        <w:t xml:space="preserve">The Data Product as a First-Class Entity</w:t>
      </w:r>
    </w:p>
    <w:p>
      <w:pPr>
        <w:spacing w:before="160" w:after="60"/>
      </w:pPr>
      <w:r>
        <w:rPr>
          <w:rFonts w:ascii="Arial" w:cs="Arial" w:eastAsia="Arial" w:hAnsi="Arial"/>
          <w:b/>
          <w:bCs/>
          <w:color w:val="1B3A6B"/>
          <w:sz w:val="20"/>
          <w:szCs w:val="20"/>
        </w:rPr>
        <w:t xml:space="preserve">F2.1 — Data Product as Governed Entity</w:t>
      </w:r>
    </w:p>
    <w:p>
      <w:pPr>
        <w:spacing w:before="0" w:after="100"/>
        <w:ind w:left="360"/>
      </w:pPr>
      <w:r>
        <w:rPr>
          <w:rFonts w:ascii="Arial" w:cs="Arial" w:eastAsia="Arial" w:hAnsi="Arial"/>
          <w:color w:val="111827"/>
          <w:sz w:val="20"/>
          <w:szCs w:val="20"/>
        </w:rPr>
        <w:t xml:space="preserve">The platform shall treat a data product as a first-class, versioned, governed entity. A data product shall have an explicit owner, an explicit contract, and an explicit lifecycle state at all times.</w:t>
      </w:r>
    </w:p>
    <w:p>
      <w:pPr>
        <w:spacing w:before="160" w:after="60"/>
      </w:pPr>
      <w:r>
        <w:rPr>
          <w:rFonts w:ascii="Arial" w:cs="Arial" w:eastAsia="Arial" w:hAnsi="Arial"/>
          <w:b/>
          <w:bCs/>
          <w:color w:val="1B3A6B"/>
          <w:sz w:val="20"/>
          <w:szCs w:val="20"/>
        </w:rPr>
        <w:t xml:space="preserve">F2.2 — Data Product Definition as Code</w:t>
      </w:r>
    </w:p>
    <w:p>
      <w:pPr>
        <w:spacing w:before="0" w:after="100"/>
        <w:ind w:left="360"/>
      </w:pPr>
      <w:r>
        <w:rPr>
          <w:rFonts w:ascii="Arial" w:cs="Arial" w:eastAsia="Arial" w:hAnsi="Arial"/>
          <w:color w:val="111827"/>
          <w:sz w:val="20"/>
          <w:szCs w:val="20"/>
        </w:rPr>
        <w:t xml:space="preserve">Every data product shall have a machine-readable definition — a declarative specification fully describing its identity, ports, schema, SLOs, governance attributes, and lineage declarations. This definition shall be the authoritative source of truth, versionable and submittable via API.</w:t>
      </w:r>
    </w:p>
    <w:p>
      <w:pPr>
        <w:spacing w:before="160" w:after="60"/>
      </w:pPr>
      <w:r>
        <w:rPr>
          <w:rFonts w:ascii="Arial" w:cs="Arial" w:eastAsia="Arial" w:hAnsi="Arial"/>
          <w:b/>
          <w:bCs/>
          <w:color w:val="1B3A6B"/>
          <w:sz w:val="20"/>
          <w:szCs w:val="20"/>
        </w:rPr>
        <w:t xml:space="preserve">F2.3 — Governance-Configured Product Schema</w:t>
      </w:r>
    </w:p>
    <w:p>
      <w:pPr>
        <w:spacing w:before="0" w:after="100"/>
        <w:ind w:left="360"/>
      </w:pPr>
      <w:r>
        <w:rPr>
          <w:rFonts w:ascii="Arial" w:cs="Arial" w:eastAsia="Arial" w:hAnsi="Arial"/>
          <w:color w:val="111827"/>
          <w:sz w:val="20"/>
          <w:szCs w:val="20"/>
        </w:rPr>
        <w:t xml:space="preserve">Required attributes in a data product definition shall not be hardcoded. The governance layer shall define a configurable, versioned product schema specifying mandatory, recommended, and optional attributes. Every definition shall be validated against this schema at publication time.</w:t>
      </w:r>
    </w:p>
    <w:p>
      <w:pPr>
        <w:spacing w:before="160" w:after="60"/>
      </w:pPr>
      <w:r>
        <w:rPr>
          <w:rFonts w:ascii="Arial" w:cs="Arial" w:eastAsia="Arial" w:hAnsi="Arial"/>
          <w:b/>
          <w:bCs/>
          <w:color w:val="1B3A6B"/>
          <w:sz w:val="20"/>
          <w:szCs w:val="20"/>
        </w:rPr>
        <w:t xml:space="preserve">F2.4 — Domain-Level Schema Extension</w:t>
      </w:r>
    </w:p>
    <w:p>
      <w:pPr>
        <w:spacing w:before="0" w:after="100"/>
        <w:ind w:left="360"/>
      </w:pPr>
      <w:r>
        <w:rPr>
          <w:rFonts w:ascii="Arial" w:cs="Arial" w:eastAsia="Arial" w:hAnsi="Arial"/>
          <w:color w:val="111827"/>
          <w:sz w:val="20"/>
          <w:szCs w:val="20"/>
        </w:rPr>
        <w:t xml:space="preserve">A domain shall define additional required or recommended attributes on top of the governance floor for products within that domain. Extensions shall not contradict or weaken governance-layer attributes. The effective product schema is the union of the governance floor and applicable domain extensions.</w:t>
      </w:r>
    </w:p>
    <w:p>
      <w:pPr>
        <w:spacing w:before="160" w:after="60"/>
      </w:pPr>
      <w:r>
        <w:rPr>
          <w:rFonts w:ascii="Arial" w:cs="Arial" w:eastAsia="Arial" w:hAnsi="Arial"/>
          <w:b/>
          <w:bCs/>
          <w:color w:val="1B3A6B"/>
          <w:sz w:val="20"/>
          <w:szCs w:val="20"/>
        </w:rPr>
        <w:t xml:space="preserve">F2.5 — Product Schema Versioning</w:t>
      </w:r>
    </w:p>
    <w:p>
      <w:pPr>
        <w:spacing w:before="0" w:after="100"/>
        <w:ind w:left="360"/>
      </w:pPr>
      <w:r>
        <w:rPr>
          <w:rFonts w:ascii="Arial" w:cs="Arial" w:eastAsia="Arial" w:hAnsi="Arial"/>
          <w:color w:val="111827"/>
          <w:sz w:val="20"/>
          <w:szCs w:val="20"/>
        </w:rPr>
        <w:t xml:space="preserve">The governance layer's product schema shall itself be versioned. When a new version is published, existing products shall have a configurable grace period to comply. The platform shall surface compliance drift — products compliant under a prior schema version but non-compliant under the current one.</w:t>
      </w:r>
    </w:p>
    <w:p>
      <w:pPr>
        <w:pStyle w:val="Heading3"/>
        <w:spacing w:before="240" w:after="120"/>
      </w:pPr>
      <w:r>
        <w:rPr>
          <w:rFonts w:ascii="Arial" w:cs="Arial" w:eastAsia="Arial" w:hAnsi="Arial"/>
          <w:b/>
          <w:bCs/>
          <w:color w:val="00A9A5"/>
          <w:sz w:val="22"/>
          <w:szCs w:val="22"/>
        </w:rPr>
        <w:t xml:space="preserve">The Port Model</w:t>
      </w:r>
    </w:p>
    <w:p>
      <w:pPr>
        <w:spacing w:before="160" w:after="60"/>
      </w:pPr>
      <w:r>
        <w:rPr>
          <w:rFonts w:ascii="Arial" w:cs="Arial" w:eastAsia="Arial" w:hAnsi="Arial"/>
          <w:b/>
          <w:bCs/>
          <w:color w:val="1B3A6B"/>
          <w:sz w:val="20"/>
          <w:szCs w:val="20"/>
        </w:rPr>
        <w:t xml:space="preserve">F2.6 — Ports as Definitional</w:t>
      </w:r>
    </w:p>
    <w:p>
      <w:pPr>
        <w:spacing w:before="0" w:after="100"/>
        <w:ind w:left="360"/>
      </w:pPr>
      <w:r>
        <w:rPr>
          <w:rFonts w:ascii="Arial" w:cs="Arial" w:eastAsia="Arial" w:hAnsi="Arial"/>
          <w:color w:val="111827"/>
          <w:sz w:val="20"/>
          <w:szCs w:val="20"/>
        </w:rPr>
        <w:t xml:space="preserve">A data product shall not be valid or publishable without at minimum one output port and one discovery port declared. The platform shall enforce this at publication time.</w:t>
      </w:r>
    </w:p>
    <w:p>
      <w:pPr>
        <w:spacing w:before="160" w:after="60"/>
      </w:pPr>
      <w:r>
        <w:rPr>
          <w:rFonts w:ascii="Arial" w:cs="Arial" w:eastAsia="Arial" w:hAnsi="Arial"/>
          <w:b/>
          <w:bCs/>
          <w:color w:val="1B3A6B"/>
          <w:sz w:val="20"/>
          <w:szCs w:val="20"/>
        </w:rPr>
        <w:t xml:space="preserve">F2.7 — Port Types</w:t>
      </w:r>
    </w:p>
    <w:p>
      <w:pPr>
        <w:spacing w:before="0" w:after="100"/>
        <w:ind w:left="360"/>
      </w:pPr>
      <w:r>
        <w:rPr>
          <w:rFonts w:ascii="Arial" w:cs="Arial" w:eastAsia="Arial" w:hAnsi="Arial"/>
          <w:color w:val="111827"/>
          <w:sz w:val="20"/>
          <w:szCs w:val="20"/>
        </w:rPr>
        <w:t xml:space="preserve">The platform shall support five port types: Input Ports (upstream data consumed), Output Ports (how consumers access the product), Discovery Ports (findability metadata), Observability Ports (quality and SLO signals), and Control Ports (administrative interface for governance interactions).</w:t>
      </w:r>
    </w:p>
    <w:p>
      <w:pPr>
        <w:spacing w:before="160" w:after="60"/>
      </w:pPr>
      <w:r>
        <w:rPr>
          <w:rFonts w:ascii="Arial" w:cs="Arial" w:eastAsia="Arial" w:hAnsi="Arial"/>
          <w:b/>
          <w:bCs/>
          <w:color w:val="1B3A6B"/>
          <w:sz w:val="20"/>
          <w:szCs w:val="20"/>
        </w:rPr>
        <w:t xml:space="preserve">F2.8 — Output Port Interface Types</w:t>
      </w:r>
    </w:p>
    <w:p>
      <w:pPr>
        <w:spacing w:before="0" w:after="100"/>
        <w:ind w:left="360"/>
      </w:pPr>
      <w:r>
        <w:rPr>
          <w:rFonts w:ascii="Arial" w:cs="Arial" w:eastAsia="Arial" w:hAnsi="Arial"/>
          <w:color w:val="111827"/>
          <w:sz w:val="20"/>
          <w:szCs w:val="20"/>
        </w:rPr>
        <w:t xml:space="preserve">Six output port types shall be supported: SQL/JDBC endpoint, REST API endpoint, GraphQL endpoint, Streaming topic (Kafka, Kinesis, Pub/Sub), File/object export (S3, GCS, ADLS), and Semantic query endpoint (for agent consumption — see Domain 6).</w:t>
      </w:r>
    </w:p>
    <w:p>
      <w:pPr>
        <w:spacing w:before="160" w:after="60"/>
      </w:pPr>
      <w:r>
        <w:rPr>
          <w:rFonts w:ascii="Arial" w:cs="Arial" w:eastAsia="Arial" w:hAnsi="Arial"/>
          <w:b/>
          <w:bCs/>
          <w:color w:val="1B3A6B"/>
          <w:sz w:val="20"/>
          <w:szCs w:val="20"/>
        </w:rPr>
        <w:t xml:space="preserve">F2.9 — Port Contract Enforcement</w:t>
      </w:r>
    </w:p>
    <w:p>
      <w:pPr>
        <w:spacing w:before="0" w:after="100"/>
        <w:ind w:left="360"/>
      </w:pPr>
      <w:r>
        <w:rPr>
          <w:rFonts w:ascii="Arial" w:cs="Arial" w:eastAsia="Arial" w:hAnsi="Arial"/>
          <w:color w:val="111827"/>
          <w:sz w:val="20"/>
          <w:szCs w:val="20"/>
        </w:rPr>
        <w:t xml:space="preserve">Each declared port shall have an associated machine-readable contract. The platform shall monitor declared contracts and surface violations to all authorized consumers of the product.</w:t>
      </w:r>
    </w:p>
    <w:p>
      <w:pPr>
        <w:spacing w:before="160" w:after="60"/>
      </w:pPr>
      <w:r>
        <w:rPr>
          <w:rFonts w:ascii="Arial" w:cs="Arial" w:eastAsia="Arial" w:hAnsi="Arial"/>
          <w:b/>
          <w:bCs/>
          <w:color w:val="1B3A6B"/>
          <w:sz w:val="20"/>
          <w:szCs w:val="20"/>
        </w:rPr>
        <w:t xml:space="preserve">F2.10 — Input Port Dependency Declaration</w:t>
      </w:r>
    </w:p>
    <w:p>
      <w:pPr>
        <w:spacing w:before="0" w:after="100"/>
        <w:ind w:left="360"/>
      </w:pPr>
      <w:r>
        <w:rPr>
          <w:rFonts w:ascii="Arial" w:cs="Arial" w:eastAsia="Arial" w:hAnsi="Arial"/>
          <w:color w:val="111827"/>
          <w:sz w:val="20"/>
          <w:szCs w:val="20"/>
        </w:rPr>
        <w:t xml:space="preserve">When a data product declares input ports referencing other data products, the platform shall register those dependencies in the lineage graph automatically. A domain team shall not declare a dependency on a product they are not authorized to access.</w:t>
      </w:r>
    </w:p>
    <w:p>
      <w:pPr>
        <w:pStyle w:val="Heading3"/>
        <w:spacing w:before="240" w:after="120"/>
      </w:pPr>
      <w:r>
        <w:rPr>
          <w:rFonts w:ascii="Arial" w:cs="Arial" w:eastAsia="Arial" w:hAnsi="Arial"/>
          <w:b/>
          <w:bCs/>
          <w:color w:val="00A9A5"/>
          <w:sz w:val="22"/>
          <w:szCs w:val="22"/>
        </w:rPr>
        <w:t xml:space="preserve">Data Product Lifecycle</w:t>
      </w:r>
    </w:p>
    <w:p>
      <w:pPr>
        <w:spacing w:before="160" w:after="60"/>
      </w:pPr>
      <w:r>
        <w:rPr>
          <w:rFonts w:ascii="Arial" w:cs="Arial" w:eastAsia="Arial" w:hAnsi="Arial"/>
          <w:b/>
          <w:bCs/>
          <w:color w:val="1B3A6B"/>
          <w:sz w:val="20"/>
          <w:szCs w:val="20"/>
        </w:rPr>
        <w:t xml:space="preserve">F2.11 — Lifecycle States</w:t>
      </w:r>
    </w:p>
    <w:p>
      <w:pPr>
        <w:spacing w:before="0" w:after="100"/>
        <w:ind w:left="360"/>
      </w:pPr>
      <w:r>
        <w:rPr>
          <w:rFonts w:ascii="Arial" w:cs="Arial" w:eastAsia="Arial" w:hAnsi="Arial"/>
          <w:color w:val="111827"/>
          <w:sz w:val="20"/>
          <w:szCs w:val="20"/>
        </w:rPr>
        <w:t xml:space="preserve">Every data product shall exist in exactly one state: Draft (being authored, not visible), Published (active, discoverable, governed), Deprecated (visible, no new access grants), or Decommissioned (no longer accessible, metadata retained). State transitions shall be explicit, audited, and governed.</w:t>
      </w:r>
    </w:p>
    <w:p>
      <w:pPr>
        <w:spacing w:before="160" w:after="60"/>
      </w:pPr>
      <w:r>
        <w:rPr>
          <w:rFonts w:ascii="Arial" w:cs="Arial" w:eastAsia="Arial" w:hAnsi="Arial"/>
          <w:b/>
          <w:bCs/>
          <w:color w:val="1B3A6B"/>
          <w:sz w:val="20"/>
          <w:szCs w:val="20"/>
        </w:rPr>
        <w:t xml:space="preserve">F2.12 — Publication Requirements</w:t>
      </w:r>
    </w:p>
    <w:p>
      <w:pPr>
        <w:spacing w:before="0" w:after="100"/>
        <w:ind w:left="360"/>
      </w:pPr>
      <w:r>
        <w:rPr>
          <w:rFonts w:ascii="Arial" w:cs="Arial" w:eastAsia="Arial" w:hAnsi="Arial"/>
          <w:color w:val="111827"/>
          <w:sz w:val="20"/>
          <w:szCs w:val="20"/>
        </w:rPr>
        <w:t xml:space="preserve">A product shall transition from Draft to Published only when: the definition is valid against the effective product schema, all declared ports have valid contracts, a product owner is assigned, and all governance-mandatory attributes are populated. A publication readiness checklist shall be surfaced during authoring.</w:t>
      </w:r>
    </w:p>
    <w:p>
      <w:pPr>
        <w:spacing w:before="160" w:after="60"/>
      </w:pPr>
      <w:r>
        <w:rPr>
          <w:rFonts w:ascii="Arial" w:cs="Arial" w:eastAsia="Arial" w:hAnsi="Arial"/>
          <w:b/>
          <w:bCs/>
          <w:color w:val="1B3A6B"/>
          <w:sz w:val="20"/>
          <w:szCs w:val="20"/>
        </w:rPr>
        <w:t xml:space="preserve">F2.13 — Deprecation Process</w:t>
      </w:r>
    </w:p>
    <w:p>
      <w:pPr>
        <w:spacing w:before="0" w:after="100"/>
        <w:ind w:left="360"/>
      </w:pPr>
      <w:r>
        <w:rPr>
          <w:rFonts w:ascii="Arial" w:cs="Arial" w:eastAsia="Arial" w:hAnsi="Arial"/>
          <w:color w:val="111827"/>
          <w:sz w:val="20"/>
          <w:szCs w:val="20"/>
        </w:rPr>
        <w:t xml:space="preserve">Initiating deprecation shall: notify all active consumers with a configurable notice period, surface the deprecation in the discovery port, block new access grant requests, and record the deprecation rationale in the audit history.</w:t>
      </w:r>
    </w:p>
    <w:p>
      <w:pPr>
        <w:spacing w:before="160" w:after="60"/>
      </w:pPr>
      <w:r>
        <w:rPr>
          <w:rFonts w:ascii="Arial" w:cs="Arial" w:eastAsia="Arial" w:hAnsi="Arial"/>
          <w:b/>
          <w:bCs/>
          <w:color w:val="1B3A6B"/>
          <w:sz w:val="20"/>
          <w:szCs w:val="20"/>
        </w:rPr>
        <w:t xml:space="preserve">F2.14 — Deprecation Override</w:t>
      </w:r>
    </w:p>
    <w:p>
      <w:pPr>
        <w:spacing w:before="0" w:after="100"/>
        <w:ind w:left="360"/>
      </w:pPr>
      <w:r>
        <w:rPr>
          <w:rFonts w:ascii="Arial" w:cs="Arial" w:eastAsia="Arial" w:hAnsi="Arial"/>
          <w:color w:val="111827"/>
          <w:sz w:val="20"/>
          <w:szCs w:val="20"/>
        </w:rPr>
        <w:t xml:space="preserve">The governance layer shall have authority to accelerate or block a domain team's deprecation action — for example, blocking deprecation of a product with no available replacement.</w:t>
      </w:r>
    </w:p>
    <w:p>
      <w:pPr>
        <w:spacing w:before="160" w:after="60"/>
      </w:pPr>
      <w:r>
        <w:rPr>
          <w:rFonts w:ascii="Arial" w:cs="Arial" w:eastAsia="Arial" w:hAnsi="Arial"/>
          <w:b/>
          <w:bCs/>
          <w:color w:val="1B3A6B"/>
          <w:sz w:val="20"/>
          <w:szCs w:val="20"/>
        </w:rPr>
        <w:t xml:space="preserve">F2.15 — Decommissioning Guard</w:t>
      </w:r>
    </w:p>
    <w:p>
      <w:pPr>
        <w:spacing w:before="0" w:after="100"/>
        <w:ind w:left="360"/>
      </w:pPr>
      <w:r>
        <w:rPr>
          <w:rFonts w:ascii="Arial" w:cs="Arial" w:eastAsia="Arial" w:hAnsi="Arial"/>
          <w:color w:val="111827"/>
          <w:sz w:val="20"/>
          <w:szCs w:val="20"/>
        </w:rPr>
        <w:t xml:space="preserve">A product shall not be transitionable to Decommissioned while it has active consumers with unresolved dependencies. The governance layer may override this guard with explicit justification recorded in the audit log.</w:t>
      </w:r>
    </w:p>
    <w:p>
      <w:pPr>
        <w:pStyle w:val="Heading3"/>
        <w:spacing w:before="240" w:after="120"/>
      </w:pPr>
      <w:r>
        <w:rPr>
          <w:rFonts w:ascii="Arial" w:cs="Arial" w:eastAsia="Arial" w:hAnsi="Arial"/>
          <w:b/>
          <w:bCs/>
          <w:color w:val="00A9A5"/>
          <w:sz w:val="22"/>
          <w:szCs w:val="22"/>
        </w:rPr>
        <w:t xml:space="preserve">Versioning</w:t>
      </w:r>
    </w:p>
    <w:p>
      <w:pPr>
        <w:spacing w:before="160" w:after="60"/>
      </w:pPr>
      <w:r>
        <w:rPr>
          <w:rFonts w:ascii="Arial" w:cs="Arial" w:eastAsia="Arial" w:hAnsi="Arial"/>
          <w:b/>
          <w:bCs/>
          <w:color w:val="1B3A6B"/>
          <w:sz w:val="20"/>
          <w:szCs w:val="20"/>
        </w:rPr>
        <w:t xml:space="preserve">F2.16 — Semantic Versioning</w:t>
      </w:r>
    </w:p>
    <w:p>
      <w:pPr>
        <w:spacing w:before="0" w:after="100"/>
        <w:ind w:left="360"/>
      </w:pPr>
      <w:r>
        <w:rPr>
          <w:rFonts w:ascii="Arial" w:cs="Arial" w:eastAsia="Arial" w:hAnsi="Arial"/>
          <w:color w:val="111827"/>
          <w:sz w:val="20"/>
          <w:szCs w:val="20"/>
        </w:rPr>
        <w:t xml:space="preserve">Every data product definition shall carry a semantic version (MAJOR.MINOR.PATCH). PATCH: non-breaking changes, no consumer notification. MINOR: additive changes, consumers notified. MAJOR: breaking changes, triggers deprecation process for prior version.</w:t>
      </w:r>
    </w:p>
    <w:p>
      <w:pPr>
        <w:spacing w:before="160" w:after="60"/>
      </w:pPr>
      <w:r>
        <w:rPr>
          <w:rFonts w:ascii="Arial" w:cs="Arial" w:eastAsia="Arial" w:hAnsi="Arial"/>
          <w:b/>
          <w:bCs/>
          <w:color w:val="1B3A6B"/>
          <w:sz w:val="20"/>
          <w:szCs w:val="20"/>
        </w:rPr>
        <w:t xml:space="preserve">F2.17 — Simultaneous Major Version Support</w:t>
      </w:r>
    </w:p>
    <w:p>
      <w:pPr>
        <w:spacing w:before="0" w:after="100"/>
        <w:ind w:left="360"/>
      </w:pPr>
      <w:r>
        <w:rPr>
          <w:rFonts w:ascii="Arial" w:cs="Arial" w:eastAsia="Arial" w:hAnsi="Arial"/>
          <w:color w:val="111827"/>
          <w:sz w:val="20"/>
          <w:szCs w:val="20"/>
        </w:rPr>
        <w:t xml:space="preserve">The number of simultaneously active major versions permitted shall be governance-configurable at the organization level, with a platform default of two (current and one prior). Different limits may be set by domain or data classification.</w:t>
      </w:r>
    </w:p>
    <w:p>
      <w:pPr>
        <w:spacing w:before="160" w:after="60"/>
      </w:pPr>
      <w:r>
        <w:rPr>
          <w:rFonts w:ascii="Arial" w:cs="Arial" w:eastAsia="Arial" w:hAnsi="Arial"/>
          <w:b/>
          <w:bCs/>
          <w:color w:val="1B3A6B"/>
          <w:sz w:val="20"/>
          <w:szCs w:val="20"/>
        </w:rPr>
        <w:t xml:space="preserve">F2.18 — Semantic Change Declaration</w:t>
      </w:r>
    </w:p>
    <w:p>
      <w:pPr>
        <w:spacing w:before="0" w:after="100"/>
        <w:ind w:left="360"/>
      </w:pPr>
      <w:r>
        <w:rPr>
          <w:rFonts w:ascii="Arial" w:cs="Arial" w:eastAsia="Arial" w:hAnsi="Arial"/>
          <w:color w:val="111827"/>
          <w:sz w:val="20"/>
          <w:szCs w:val="20"/>
        </w:rPr>
        <w:t xml:space="preserve">When a MAJOR version increment occurs, the data product owner shall provide a structured semantic change declaration — describing what the data means differently in the new version, not just what the schema changed. This shall be stored in the lineage record and surfaced to human consumers and AI agents.</w:t>
      </w:r>
    </w:p>
    <w:p>
      <w:pPr>
        <w:spacing w:before="160" w:after="60"/>
      </w:pPr>
      <w:r>
        <w:rPr>
          <w:rFonts w:ascii="Arial" w:cs="Arial" w:eastAsia="Arial" w:hAnsi="Arial"/>
          <w:b/>
          <w:bCs/>
          <w:color w:val="1B3A6B"/>
          <w:sz w:val="20"/>
          <w:szCs w:val="20"/>
        </w:rPr>
        <w:t xml:space="preserve">F2.19 — Version Deprecation Schedule</w:t>
      </w:r>
    </w:p>
    <w:p>
      <w:pPr>
        <w:spacing w:before="0" w:after="100"/>
        <w:ind w:left="360"/>
      </w:pPr>
      <w:r>
        <w:rPr>
          <w:rFonts w:ascii="Arial" w:cs="Arial" w:eastAsia="Arial" w:hAnsi="Arial"/>
          <w:color w:val="111827"/>
          <w:sz w:val="20"/>
          <w:szCs w:val="20"/>
        </w:rPr>
        <w:t xml:space="preserve">When a new MAJOR version is published, the platform shall automatically initiate a deprecation schedule for the previous MAJOR version, with the notice period configured by the governance layer.</w:t>
      </w:r>
    </w:p>
    <w:p>
      <w:pPr>
        <w:pStyle w:val="Heading3"/>
        <w:spacing w:before="240" w:after="120"/>
      </w:pPr>
      <w:r>
        <w:rPr>
          <w:rFonts w:ascii="Arial" w:cs="Arial" w:eastAsia="Arial" w:hAnsi="Arial"/>
          <w:b/>
          <w:bCs/>
          <w:color w:val="00A9A5"/>
          <w:sz w:val="22"/>
          <w:szCs w:val="22"/>
        </w:rPr>
        <w:t xml:space="preserve">Data Classification and Metadata</w:t>
      </w:r>
    </w:p>
    <w:p>
      <w:pPr>
        <w:spacing w:before="160" w:after="60"/>
      </w:pPr>
      <w:r>
        <w:rPr>
          <w:rFonts w:ascii="Arial" w:cs="Arial" w:eastAsia="Arial" w:hAnsi="Arial"/>
          <w:b/>
          <w:bCs/>
          <w:color w:val="1B3A6B"/>
          <w:sz w:val="20"/>
          <w:szCs w:val="20"/>
        </w:rPr>
        <w:t xml:space="preserve">F2.20 — Classification as Mandatory Governance Attribute</w:t>
      </w:r>
    </w:p>
    <w:p>
      <w:pPr>
        <w:spacing w:before="0" w:after="100"/>
        <w:ind w:left="360"/>
      </w:pPr>
      <w:r>
        <w:rPr>
          <w:rFonts w:ascii="Arial" w:cs="Arial" w:eastAsia="Arial" w:hAnsi="Arial"/>
          <w:color w:val="111827"/>
          <w:sz w:val="20"/>
          <w:szCs w:val="20"/>
        </w:rPr>
        <w:t xml:space="preserve">Every data product shall carry a data classification defined by the governance layer's taxonomy. Classification shall influence access control, deprecation notice periods, lineage depth requirements, and agent access permissions.</w:t>
      </w:r>
    </w:p>
    <w:p>
      <w:pPr>
        <w:spacing w:before="160" w:after="60"/>
      </w:pPr>
      <w:r>
        <w:rPr>
          <w:rFonts w:ascii="Arial" w:cs="Arial" w:eastAsia="Arial" w:hAnsi="Arial"/>
          <w:b/>
          <w:bCs/>
          <w:color w:val="1B3A6B"/>
          <w:sz w:val="20"/>
          <w:szCs w:val="20"/>
        </w:rPr>
        <w:t xml:space="preserve">F2.21 — Classification Inheritance</w:t>
      </w:r>
    </w:p>
    <w:p>
      <w:pPr>
        <w:spacing w:before="0" w:after="100"/>
        <w:ind w:left="360"/>
      </w:pPr>
      <w:r>
        <w:rPr>
          <w:rFonts w:ascii="Arial" w:cs="Arial" w:eastAsia="Arial" w:hAnsi="Arial"/>
          <w:color w:val="111827"/>
          <w:sz w:val="20"/>
          <w:szCs w:val="20"/>
        </w:rPr>
        <w:t xml:space="preserve">A domain team shall not classify an output product at a lower sensitivity level than its most sensitive input product, without explicit governance layer override and documented justification.</w:t>
      </w:r>
    </w:p>
    <w:p>
      <w:pPr>
        <w:spacing w:before="160" w:after="60"/>
      </w:pPr>
      <w:r>
        <w:rPr>
          <w:rFonts w:ascii="Arial" w:cs="Arial" w:eastAsia="Arial" w:hAnsi="Arial"/>
          <w:b/>
          <w:bCs/>
          <w:color w:val="1B3A6B"/>
          <w:sz w:val="20"/>
          <w:szCs w:val="20"/>
        </w:rPr>
        <w:t xml:space="preserve">F2.22 — Governance-Configured Metadata</w:t>
      </w:r>
    </w:p>
    <w:p>
      <w:pPr>
        <w:spacing w:before="0" w:after="100"/>
        <w:ind w:left="360"/>
      </w:pPr>
      <w:r>
        <w:rPr>
          <w:rFonts w:ascii="Arial" w:cs="Arial" w:eastAsia="Arial" w:hAnsi="Arial"/>
          <w:color w:val="111827"/>
          <w:sz w:val="20"/>
          <w:szCs w:val="20"/>
        </w:rPr>
        <w:t xml:space="preserve">Metadata attributes required on a data product shall be fully configurable by the governance layer. The platform shall ship with a recommended baseline aligned to DCAT and Data Mesh open standards.</w:t>
      </w:r>
    </w:p>
    <w:p>
      <w:pPr>
        <w:spacing w:before="160" w:after="60"/>
      </w:pPr>
      <w:r>
        <w:rPr>
          <w:rFonts w:ascii="Arial" w:cs="Arial" w:eastAsia="Arial" w:hAnsi="Arial"/>
          <w:b/>
          <w:bCs/>
          <w:color w:val="1B3A6B"/>
          <w:sz w:val="20"/>
          <w:szCs w:val="20"/>
        </w:rPr>
        <w:t xml:space="preserve">F2.23 — Lineage Declaration</w:t>
      </w:r>
    </w:p>
    <w:p>
      <w:pPr>
        <w:spacing w:before="0" w:after="100"/>
        <w:ind w:left="360"/>
      </w:pPr>
      <w:r>
        <w:rPr>
          <w:rFonts w:ascii="Arial" w:cs="Arial" w:eastAsia="Arial" w:hAnsi="Arial"/>
          <w:color w:val="111827"/>
          <w:sz w:val="20"/>
          <w:szCs w:val="20"/>
        </w:rPr>
        <w:t xml:space="preserve">Domain teams shall declare transformation lineage within a data product definition at a logical level. Declared lineage shall be supplemented by emitted lineage events from pipelines (Domain 5).</w:t>
      </w:r>
    </w:p>
    <w:p>
      <w:pPr>
        <w:spacing w:before="160" w:after="60"/>
      </w:pPr>
      <w:r>
        <w:rPr>
          <w:rFonts w:ascii="Arial" w:cs="Arial" w:eastAsia="Arial" w:hAnsi="Arial"/>
          <w:b/>
          <w:bCs/>
          <w:color w:val="1B3A6B"/>
          <w:sz w:val="20"/>
          <w:szCs w:val="20"/>
        </w:rPr>
        <w:t xml:space="preserve">F2.24 — AI Provenance Metadata</w:t>
      </w:r>
    </w:p>
    <w:p>
      <w:pPr>
        <w:spacing w:before="0" w:after="100"/>
        <w:ind w:left="360"/>
      </w:pPr>
      <w:r>
        <w:rPr>
          <w:rFonts w:ascii="Arial" w:cs="Arial" w:eastAsia="Arial" w:hAnsi="Arial"/>
          <w:color w:val="111827"/>
          <w:sz w:val="20"/>
          <w:szCs w:val="20"/>
        </w:rPr>
        <w:t xml:space="preserve">When a data product is produced or transformed by an AI agent, the product definition shall carry AI provenance metadata by default: agent identity, model identifier and version, reasoning trace reference, and governance policy version at time of production. This metadata is enabled by default; the governance layer may configure specific attributes but may not disable AI provenance capture without documented justification.</w:t>
      </w:r>
    </w:p>
    <w:p>
      <w:pPr>
        <w:pStyle w:val="Heading2"/>
        <w:spacing w:before="320" w:after="160"/>
      </w:pPr>
      <w:r>
        <w:rPr>
          <w:rFonts w:ascii="Arial" w:cs="Arial" w:eastAsia="Arial" w:hAnsi="Arial"/>
          <w:b/>
          <w:bCs/>
          <w:color w:val="2E75B6"/>
          <w:sz w:val="26"/>
          <w:szCs w:val="26"/>
        </w:rPr>
        <w:t xml:space="preserve">Non-Functional Requirements</w:t>
      </w:r>
    </w:p>
    <w:p>
      <w:pPr>
        <w:spacing w:before="160" w:after="60"/>
      </w:pPr>
      <w:r>
        <w:rPr>
          <w:rFonts w:ascii="Arial" w:cs="Arial" w:eastAsia="Arial" w:hAnsi="Arial"/>
          <w:b/>
          <w:bCs/>
          <w:color w:val="2E75B6"/>
          <w:sz w:val="20"/>
          <w:szCs w:val="20"/>
        </w:rPr>
        <w:t xml:space="preserve">NF2.1 — Definition Validation Latency</w:t>
      </w:r>
    </w:p>
    <w:p>
      <w:pPr>
        <w:spacing w:before="0" w:after="100"/>
        <w:ind w:left="360"/>
      </w:pPr>
      <w:r>
        <w:rPr>
          <w:rFonts w:ascii="Arial" w:cs="Arial" w:eastAsia="Arial" w:hAnsi="Arial"/>
          <w:color w:val="111827"/>
          <w:sz w:val="20"/>
          <w:szCs w:val="20"/>
        </w:rPr>
        <w:t xml:space="preserve">Data product definition validation shall complete in under 2 seconds for any valid definition.</w:t>
      </w:r>
    </w:p>
    <w:p>
      <w:pPr>
        <w:spacing w:before="160" w:after="60"/>
      </w:pPr>
      <w:r>
        <w:rPr>
          <w:rFonts w:ascii="Arial" w:cs="Arial" w:eastAsia="Arial" w:hAnsi="Arial"/>
          <w:b/>
          <w:bCs/>
          <w:color w:val="2E75B6"/>
          <w:sz w:val="20"/>
          <w:szCs w:val="20"/>
        </w:rPr>
        <w:t xml:space="preserve">NF2.2 — Publication Atomicity</w:t>
      </w:r>
    </w:p>
    <w:p>
      <w:pPr>
        <w:spacing w:before="0" w:after="100"/>
        <w:ind w:left="360"/>
      </w:pPr>
      <w:r>
        <w:rPr>
          <w:rFonts w:ascii="Arial" w:cs="Arial" w:eastAsia="Arial" w:hAnsi="Arial"/>
          <w:color w:val="111827"/>
          <w:sz w:val="20"/>
          <w:szCs w:val="20"/>
        </w:rPr>
        <w:t xml:space="preserve">Data product publication shall be atomic — either fully published with all ports registered and governance records written, or the publication fails entirely with no partial state visible to consumers.</w:t>
      </w:r>
    </w:p>
    <w:p>
      <w:pPr>
        <w:spacing w:before="160" w:after="60"/>
      </w:pPr>
      <w:r>
        <w:rPr>
          <w:rFonts w:ascii="Arial" w:cs="Arial" w:eastAsia="Arial" w:hAnsi="Arial"/>
          <w:b/>
          <w:bCs/>
          <w:color w:val="2E75B6"/>
          <w:sz w:val="20"/>
          <w:szCs w:val="20"/>
        </w:rPr>
        <w:t xml:space="preserve">NF2.3 — Schema Configurability Without Downtime</w:t>
      </w:r>
    </w:p>
    <w:p>
      <w:pPr>
        <w:spacing w:before="0" w:after="100"/>
        <w:ind w:left="360"/>
      </w:pPr>
      <w:r>
        <w:rPr>
          <w:rFonts w:ascii="Arial" w:cs="Arial" w:eastAsia="Arial" w:hAnsi="Arial"/>
          <w:color w:val="111827"/>
          <w:sz w:val="20"/>
          <w:szCs w:val="20"/>
        </w:rPr>
        <w:t xml:space="preserve">Updates to the governance layer's product schema shall take effect without platform downtime or disruption to already-published products.</w:t>
      </w:r>
    </w:p>
    <w:p>
      <w:pPr>
        <w:spacing w:before="160" w:after="60"/>
      </w:pPr>
      <w:r>
        <w:rPr>
          <w:rFonts w:ascii="Arial" w:cs="Arial" w:eastAsia="Arial" w:hAnsi="Arial"/>
          <w:b/>
          <w:bCs/>
          <w:color w:val="2E75B6"/>
          <w:sz w:val="20"/>
          <w:szCs w:val="20"/>
        </w:rPr>
        <w:t xml:space="preserve">NF2.4 — Definition Portability</w:t>
      </w:r>
    </w:p>
    <w:p>
      <w:pPr>
        <w:spacing w:before="0" w:after="100"/>
        <w:ind w:left="360"/>
      </w:pPr>
      <w:r>
        <w:rPr>
          <w:rFonts w:ascii="Arial" w:cs="Arial" w:eastAsia="Arial" w:hAnsi="Arial"/>
          <w:color w:val="111827"/>
          <w:sz w:val="20"/>
          <w:szCs w:val="20"/>
        </w:rPr>
        <w:t xml:space="preserve">The data product definition format shall be an open, documented standard. The platform shall publish and maintain the definition schema as a versioned open specification.</w:t>
      </w:r>
    </w:p>
    <w:p>
      <w:pPr>
        <w:spacing w:before="160" w:after="60"/>
      </w:pPr>
      <w:r>
        <w:rPr>
          <w:rFonts w:ascii="Arial" w:cs="Arial" w:eastAsia="Arial" w:hAnsi="Arial"/>
          <w:b/>
          <w:bCs/>
          <w:color w:val="2E75B6"/>
          <w:sz w:val="20"/>
          <w:szCs w:val="20"/>
        </w:rPr>
        <w:t xml:space="preserve">NF2.5 — Audit Completeness</w:t>
      </w:r>
    </w:p>
    <w:p>
      <w:pPr>
        <w:spacing w:before="0" w:after="100"/>
        <w:ind w:left="360"/>
      </w:pPr>
      <w:r>
        <w:rPr>
          <w:rFonts w:ascii="Arial" w:cs="Arial" w:eastAsia="Arial" w:hAnsi="Arial"/>
          <w:color w:val="111827"/>
          <w:sz w:val="20"/>
          <w:szCs w:val="20"/>
        </w:rPr>
        <w:t xml:space="preserve">Every state transition, schema validation event, port contract violation, and version publication shall produce an immutable audit record associated with the acting principal.</w:t>
      </w:r>
    </w:p>
    <w:p>
      <w:pPr>
        <w:pStyle w:val="Heading2"/>
        <w:spacing w:before="320" w:after="160"/>
      </w:pPr>
      <w:r>
        <w:rPr>
          <w:rFonts w:ascii="Arial" w:cs="Arial" w:eastAsia="Arial" w:hAnsi="Arial"/>
          <w:b/>
          <w:bCs/>
          <w:color w:val="2E75B6"/>
          <w:sz w:val="26"/>
          <w:szCs w:val="26"/>
        </w:rPr>
        <w:t xml:space="preserve">Out of Scope</w:t>
      </w:r>
    </w:p>
    <w:p>
      <w:pPr>
        <w:spacing w:before="80" w:after="80"/>
        <w:ind w:left="360"/>
      </w:pPr>
      <w:r>
        <w:rPr>
          <w:rFonts w:ascii="Courier New" w:cs="Courier New" w:eastAsia="Courier New" w:hAnsi="Courier New"/>
          <w:b/>
          <w:bCs/>
          <w:color w:val="EF4444"/>
          <w:sz w:val="18"/>
          <w:szCs w:val="18"/>
        </w:rPr>
        <w:t xml:space="preserve">OS2.1  </w:t>
      </w:r>
      <w:r>
        <w:rPr>
          <w:rFonts w:ascii="Arial" w:cs="Arial" w:eastAsia="Arial" w:hAnsi="Arial"/>
          <w:color w:val="111827"/>
          <w:sz w:val="20"/>
          <w:szCs w:val="20"/>
        </w:rPr>
        <w:t xml:space="preserve">[POST-MVP] AI-assisted data product definition authoring. The platform validates definitions; authoring is the domain team's responsibility at MVP.</w:t>
      </w:r>
    </w:p>
    <w:p>
      <w:pPr>
        <w:spacing w:before="80" w:after="80"/>
        <w:ind w:left="360"/>
      </w:pPr>
      <w:r>
        <w:rPr>
          <w:rFonts w:ascii="Courier New" w:cs="Courier New" w:eastAsia="Courier New" w:hAnsi="Courier New"/>
          <w:b/>
          <w:bCs/>
          <w:color w:val="EF4444"/>
          <w:sz w:val="18"/>
          <w:szCs w:val="18"/>
        </w:rPr>
        <w:t xml:space="preserve">OS2.2  </w:t>
      </w:r>
      <w:r>
        <w:rPr>
          <w:rFonts w:ascii="Arial" w:cs="Arial" w:eastAsia="Arial" w:hAnsi="Arial"/>
          <w:color w:val="111827"/>
          <w:sz w:val="20"/>
          <w:szCs w:val="20"/>
        </w:rPr>
        <w:t xml:space="preserve">Pipeline execution and scheduling. The platform records lineage declarations and receives emissions; it does not own compute.</w:t>
      </w:r>
    </w:p>
    <w:p>
      <w:pPr>
        <w:spacing w:before="80" w:after="80"/>
        <w:ind w:left="360"/>
      </w:pPr>
      <w:r>
        <w:rPr>
          <w:rFonts w:ascii="Courier New" w:cs="Courier New" w:eastAsia="Courier New" w:hAnsi="Courier New"/>
          <w:b/>
          <w:bCs/>
          <w:color w:val="EF4444"/>
          <w:sz w:val="18"/>
          <w:szCs w:val="18"/>
        </w:rPr>
        <w:t xml:space="preserve">OS2.3  </w:t>
      </w:r>
      <w:r>
        <w:rPr>
          <w:rFonts w:ascii="Arial" w:cs="Arial" w:eastAsia="Arial" w:hAnsi="Arial"/>
          <w:color w:val="111827"/>
          <w:sz w:val="20"/>
          <w:szCs w:val="20"/>
        </w:rPr>
        <w:t xml:space="preserve">Data storage. Output ports point to data in domain-owned infrastructure. The platform holds metadata, contracts, and lineage only.</w:t>
      </w:r>
    </w:p>
    <w:p>
      <w:pPr>
        <w:spacing w:before="80" w:after="80"/>
        <w:ind w:left="360"/>
      </w:pPr>
      <w:r>
        <w:rPr>
          <w:rFonts w:ascii="Courier New" w:cs="Courier New" w:eastAsia="Courier New" w:hAnsi="Courier New"/>
          <w:b/>
          <w:bCs/>
          <w:color w:val="EF4444"/>
          <w:sz w:val="18"/>
          <w:szCs w:val="18"/>
        </w:rPr>
        <w:t xml:space="preserve">OS2.4  </w:t>
      </w:r>
      <w:r>
        <w:rPr>
          <w:rFonts w:ascii="Arial" w:cs="Arial" w:eastAsia="Arial" w:hAnsi="Arial"/>
          <w:color w:val="111827"/>
          <w:sz w:val="20"/>
          <w:szCs w:val="20"/>
        </w:rPr>
        <w:t xml:space="preserve">Data quality computation. The platform surfaces quality signals emitted by domains; it does not compute quality metrics.</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Domain 2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product as first-class, versioned, governed entity</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Machine-readable, code-first product definition, API-submittable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Governance-configured product schema — attributes not hardcoded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Domain-level schema extension — additive only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Product schema versioning with grace periods and compliance drift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Ports definitional — minimum one output and one discovery port to publish</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Five port types: input, output, discovery, observability, control</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Six output port interface types including semantic query for agents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Port contract enforcement with consumer-visible violation surfacing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F2.10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Input port dependency auto-registers in lineage graph</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F2.11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Four lifecycle states: Draft, Published, Deprecated, Decommissioned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F2.12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Publication readiness checklist — schema, ports, owner, governance attributes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F2.13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Deprecation process — consumer notification, access block, rationale recorded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F2.14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Governance layer authority to accelerate or block deprecation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F2.15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Decommissioning guard — blocked while active consumers exist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F2.16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Semantic versioning — PATCH, MINOR, MAJOR with enforced contracts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F2.17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Simultaneous major versions — governance-configurable, default two</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F2.18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Semantic change declaration mandatory at MAJOR version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F2.19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Auto-initiated deprecation schedule on prior MAJOR version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F2.20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classification mandatory, governance-defined taxonomy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F2.21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Classification inheritance — output cannot be less sensitive than inputs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F2.22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Governance-configured metadata, DCAT-aligned baseline provided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F2.23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declaration in definition, supplemented by pipeline emissions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F2.24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AI provenance metadata — default on, governance-configurable attributes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NF2.1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Definition validation under 2 seconds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NF2.2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Publication atomicity — no partial state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NF2.3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Product schema updates without platform downtime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NF2.4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Open, documented, portable definition format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NF2.5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Immutable audit records for all state transitions and governance events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OS2.1</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AI-assisted definition authoring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OS2.2</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Pipeline execution and scheduling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OS2.3</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storage — platform holds metadata only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OS2.4</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quality computation</w:t>
            </w:r>
          </w:p>
        </w:tc>
      </w:tr>
    </w:tbl>
    <w:p>
      <w:pPr>
        <w:spacing w:before="0" w:after="60"/>
      </w:pPr>
      <w:r>
        <w:rPr>
          <w:rFonts w:ascii="Arial" w:cs="Arial" w:eastAsia="Arial" w:hAnsi="Arial"/>
          <w:b/>
          <w:bCs/>
          <w:color w:val="00A9A5"/>
          <w:sz w:val="20"/>
          <w:szCs w:val="20"/>
        </w:rPr>
        <w:t xml:space="preserve">Domain 3</w:t>
      </w:r>
    </w:p>
    <w:p>
      <w:pPr>
        <w:pStyle w:val="Heading1"/>
        <w:pageBreakBefore/>
        <w:spacing w:before="0" w:after="180"/>
      </w:pPr>
      <w:r>
        <w:rPr>
          <w:rFonts w:ascii="Arial" w:cs="Arial" w:eastAsia="Arial" w:hAnsi="Arial"/>
          <w:b/>
          <w:bCs/>
          <w:color w:val="1B3A6B"/>
          <w:sz w:val="36"/>
          <w:szCs w:val="36"/>
        </w:rPr>
        <w:t xml:space="preserve">Connectivity &amp; Source Integration</w:t>
      </w:r>
    </w:p>
    <w:p>
      <w:pPr>
        <w:spacing w:before="0" w:after="240"/>
      </w:pPr>
      <w:r>
        <w:rPr>
          <w:rFonts w:ascii="Arial" w:cs="Arial" w:eastAsia="Arial" w:hAnsi="Arial"/>
          <w:i/>
          <w:iCs/>
          <w:color w:val="6B7280"/>
          <w:sz w:val="20"/>
          <w:szCs w:val="20"/>
        </w:rPr>
        <w:t xml:space="preserve">Defines how domain teams register and authenticate external data sources, how inter-product dependencies are declared, and how the platform integrates with domain infrastructure for lineage emission and observability.</w:t>
      </w:r>
    </w:p>
    <w:p>
      <w:pPr>
        <w:pBdr>
          <w:bottom w:val="single" w:color="2E75B6" w:sz="6" w:space="1"/>
        </w:pBdr>
        <w:spacing w:before="160" w:after="160"/>
      </w:pPr>
      <w:r>
        <w:t xml:space="preserve"/>
      </w:r>
    </w:p>
    <w:p>
      <w:pPr>
        <w:pStyle w:val="Heading2"/>
        <w:spacing w:before="320" w:after="160"/>
      </w:pPr>
      <w:r>
        <w:rPr>
          <w:rFonts w:ascii="Arial" w:cs="Arial" w:eastAsia="Arial" w:hAnsi="Arial"/>
          <w:b/>
          <w:bCs/>
          <w:color w:val="2E75B6"/>
          <w:sz w:val="26"/>
          <w:szCs w:val="26"/>
        </w:rPr>
        <w:t xml:space="preserve">Functional Requirements</w:t>
      </w:r>
    </w:p>
    <w:p>
      <w:pPr>
        <w:pStyle w:val="Heading3"/>
        <w:spacing w:before="240" w:after="120"/>
      </w:pPr>
      <w:r>
        <w:rPr>
          <w:rFonts w:ascii="Arial" w:cs="Arial" w:eastAsia="Arial" w:hAnsi="Arial"/>
          <w:b/>
          <w:bCs/>
          <w:color w:val="00A9A5"/>
          <w:sz w:val="22"/>
          <w:szCs w:val="22"/>
        </w:rPr>
        <w:t xml:space="preserve">Connector Framework</w:t>
      </w:r>
    </w:p>
    <w:p>
      <w:pPr>
        <w:spacing w:before="160" w:after="60"/>
      </w:pPr>
      <w:r>
        <w:rPr>
          <w:rFonts w:ascii="Arial" w:cs="Arial" w:eastAsia="Arial" w:hAnsi="Arial"/>
          <w:b/>
          <w:bCs/>
          <w:color w:val="1B3A6B"/>
          <w:sz w:val="20"/>
          <w:szCs w:val="20"/>
        </w:rPr>
        <w:t xml:space="preserve">F3.1 — Connector as First-Class Entity</w:t>
      </w:r>
    </w:p>
    <w:p>
      <w:pPr>
        <w:spacing w:before="0" w:after="100"/>
        <w:ind w:left="360"/>
      </w:pPr>
      <w:r>
        <w:rPr>
          <w:rFonts w:ascii="Arial" w:cs="Arial" w:eastAsia="Arial" w:hAnsi="Arial"/>
          <w:color w:val="111827"/>
          <w:sz w:val="20"/>
          <w:szCs w:val="20"/>
        </w:rPr>
        <w:t xml:space="preserve">The platform shall provide a connector framework through which domain teams register external data sources. A connector is a configured, authenticated, tested link between the platform's control plane and a domain's data infrastructure. Connectors are owned by domains.</w:t>
      </w:r>
    </w:p>
    <w:p>
      <w:pPr>
        <w:spacing w:before="160" w:after="60"/>
      </w:pPr>
      <w:r>
        <w:rPr>
          <w:rFonts w:ascii="Arial" w:cs="Arial" w:eastAsia="Arial" w:hAnsi="Arial"/>
          <w:b/>
          <w:bCs/>
          <w:color w:val="1B3A6B"/>
          <w:sz w:val="20"/>
          <w:szCs w:val="20"/>
        </w:rPr>
        <w:t xml:space="preserve">F3.2 — Connector Library</w:t>
      </w:r>
    </w:p>
    <w:p>
      <w:pPr>
        <w:spacing w:before="0" w:after="100"/>
        <w:ind w:left="360"/>
      </w:pPr>
      <w:r>
        <w:rPr>
          <w:rFonts w:ascii="Arial" w:cs="Arial" w:eastAsia="Arial" w:hAnsi="Arial"/>
          <w:color w:val="111827"/>
          <w:sz w:val="20"/>
          <w:szCs w:val="20"/>
        </w:rPr>
        <w:t xml:space="preserve">The platform shall ship with pre-built connectors covering: relational databases (PostgreSQL, MySQL/MariaDB, SQL Server, Oracle, Cloud Spanner), cloud warehouses/lakehouses (Snowflake, BigQuery, Redshift, Databricks, Microsoft Fabric), NoSQL (MongoDB, Cassandra, DynamoDB, Elasticsearch), streaming (Kafka, Kinesis, Pub/Sub, Event Hubs, Pulsar), object storage (S3, GCS, ADLS, SFTP), SaaS applications (Salesforce, HubSpot, ServiceNow, Workday, Stripe), and generic REST and GraphQL APIs.</w:t>
      </w:r>
    </w:p>
    <w:p>
      <w:pPr>
        <w:spacing w:before="160" w:after="60"/>
      </w:pPr>
      <w:r>
        <w:rPr>
          <w:rFonts w:ascii="Arial" w:cs="Arial" w:eastAsia="Arial" w:hAnsi="Arial"/>
          <w:b/>
          <w:bCs/>
          <w:color w:val="1B3A6B"/>
          <w:sz w:val="20"/>
          <w:szCs w:val="20"/>
        </w:rPr>
        <w:t xml:space="preserve">F3.3 — Connector Extensibility</w:t>
      </w:r>
    </w:p>
    <w:p>
      <w:pPr>
        <w:spacing w:before="0" w:after="100"/>
        <w:ind w:left="360"/>
      </w:pPr>
      <w:r>
        <w:rPr>
          <w:rFonts w:ascii="Arial" w:cs="Arial" w:eastAsia="Arial" w:hAnsi="Arial"/>
          <w:color w:val="111827"/>
          <w:sz w:val="20"/>
          <w:szCs w:val="20"/>
        </w:rPr>
        <w:t xml:space="preserve">The platform shall provide a documented connector SDK for custom connector development. Custom connectors shall conform to the same interface contract as pre-built connectors and shall be registerable without platform operator involvement.</w:t>
      </w:r>
    </w:p>
    <w:p>
      <w:pPr>
        <w:spacing w:before="160" w:after="60"/>
      </w:pPr>
      <w:r>
        <w:rPr>
          <w:rFonts w:ascii="Arial" w:cs="Arial" w:eastAsia="Arial" w:hAnsi="Arial"/>
          <w:b/>
          <w:bCs/>
          <w:color w:val="1B3A6B"/>
          <w:sz w:val="20"/>
          <w:szCs w:val="20"/>
        </w:rPr>
        <w:t xml:space="preserve">F3.4 — Connector Validation</w:t>
      </w:r>
    </w:p>
    <w:p>
      <w:pPr>
        <w:spacing w:before="0" w:after="100"/>
        <w:ind w:left="360"/>
      </w:pPr>
      <w:r>
        <w:rPr>
          <w:rFonts w:ascii="Arial" w:cs="Arial" w:eastAsia="Arial" w:hAnsi="Arial"/>
          <w:color w:val="111827"/>
          <w:sz w:val="20"/>
          <w:szCs w:val="20"/>
        </w:rPr>
        <w:t xml:space="preserve">Upon registration, the platform shall perform a connectivity test verifying that credentials and endpoint configuration result in a successful authenticated connection. Connectors that fail validation shall not be associatable with data product input ports.</w:t>
      </w:r>
    </w:p>
    <w:p>
      <w:pPr>
        <w:spacing w:before="160" w:after="60"/>
      </w:pPr>
      <w:r>
        <w:rPr>
          <w:rFonts w:ascii="Arial" w:cs="Arial" w:eastAsia="Arial" w:hAnsi="Arial"/>
          <w:b/>
          <w:bCs/>
          <w:color w:val="1B3A6B"/>
          <w:sz w:val="20"/>
          <w:szCs w:val="20"/>
        </w:rPr>
        <w:t xml:space="preserve">F3.5 — Connector Health Monitoring</w:t>
      </w:r>
    </w:p>
    <w:p>
      <w:pPr>
        <w:spacing w:before="0" w:after="100"/>
        <w:ind w:left="360"/>
      </w:pPr>
      <w:r>
        <w:rPr>
          <w:rFonts w:ascii="Arial" w:cs="Arial" w:eastAsia="Arial" w:hAnsi="Arial"/>
          <w:color w:val="111827"/>
          <w:sz w:val="20"/>
          <w:szCs w:val="20"/>
        </w:rPr>
        <w:t xml:space="preserve">The platform shall continuously monitor registered connector health (healthy, degraded, unreachable) and propagate health state to the observability port of dependent data products.</w:t>
      </w:r>
    </w:p>
    <w:p>
      <w:pPr>
        <w:spacing w:before="160" w:after="60"/>
      </w:pPr>
      <w:r>
        <w:rPr>
          <w:rFonts w:ascii="Arial" w:cs="Arial" w:eastAsia="Arial" w:hAnsi="Arial"/>
          <w:b/>
          <w:bCs/>
          <w:color w:val="1B3A6B"/>
          <w:sz w:val="20"/>
          <w:szCs w:val="20"/>
        </w:rPr>
        <w:t xml:space="preserve">F3.6 — Credential Management</w:t>
      </w:r>
    </w:p>
    <w:p>
      <w:pPr>
        <w:spacing w:before="0" w:after="100"/>
        <w:ind w:left="360"/>
      </w:pPr>
      <w:r>
        <w:rPr>
          <w:rFonts w:ascii="Arial" w:cs="Arial" w:eastAsia="Arial" w:hAnsi="Arial"/>
          <w:color w:val="111827"/>
          <w:sz w:val="20"/>
          <w:szCs w:val="20"/>
        </w:rPr>
        <w:t xml:space="preserve">The platform shall never store raw credentials. All authentication secrets shall be managed via AWS Secrets Manager, Google Cloud Secret Manager, Azure Key Vault, or HashiCorp Vault. OAuth 2.0 and API key authentication shall be supported. Credential rotation shall be handled by the external secrets manager without manual domain team intervention.</w:t>
      </w:r>
    </w:p>
    <w:p>
      <w:pPr>
        <w:spacing w:before="160" w:after="60"/>
      </w:pPr>
      <w:r>
        <w:rPr>
          <w:rFonts w:ascii="Arial" w:cs="Arial" w:eastAsia="Arial" w:hAnsi="Arial"/>
          <w:b/>
          <w:bCs/>
          <w:color w:val="1B3A6B"/>
          <w:sz w:val="20"/>
          <w:szCs w:val="20"/>
        </w:rPr>
        <w:t xml:space="preserve">F3.7 — Connector Scope Isolation</w:t>
      </w:r>
    </w:p>
    <w:p>
      <w:pPr>
        <w:spacing w:before="0" w:after="100"/>
        <w:ind w:left="360"/>
      </w:pPr>
      <w:r>
        <w:rPr>
          <w:rFonts w:ascii="Arial" w:cs="Arial" w:eastAsia="Arial" w:hAnsi="Arial"/>
          <w:color w:val="111827"/>
          <w:sz w:val="20"/>
          <w:szCs w:val="20"/>
        </w:rPr>
        <w:t xml:space="preserve">A connector registered by one domain shall not be accessible, visible, or usable by any other domain. If two domains need access to the same source system, each registers independently.</w:t>
      </w:r>
    </w:p>
    <w:p>
      <w:pPr>
        <w:pStyle w:val="Heading3"/>
        <w:spacing w:before="240" w:after="120"/>
      </w:pPr>
      <w:r>
        <w:rPr>
          <w:rFonts w:ascii="Arial" w:cs="Arial" w:eastAsia="Arial" w:hAnsi="Arial"/>
          <w:b/>
          <w:bCs/>
          <w:color w:val="00A9A5"/>
          <w:sz w:val="22"/>
          <w:szCs w:val="22"/>
        </w:rPr>
        <w:t xml:space="preserve">Source-Aligned Domain Connectivity</w:t>
      </w:r>
    </w:p>
    <w:p>
      <w:pPr>
        <w:spacing w:before="160" w:after="60"/>
      </w:pPr>
      <w:r>
        <w:rPr>
          <w:rFonts w:ascii="Arial" w:cs="Arial" w:eastAsia="Arial" w:hAnsi="Arial"/>
          <w:b/>
          <w:bCs/>
          <w:color w:val="1B3A6B"/>
          <w:sz w:val="20"/>
          <w:szCs w:val="20"/>
        </w:rPr>
        <w:t xml:space="preserve">F3.8 — Source Registration</w:t>
      </w:r>
    </w:p>
    <w:p>
      <w:pPr>
        <w:spacing w:before="0" w:after="100"/>
        <w:ind w:left="360"/>
      </w:pPr>
      <w:r>
        <w:rPr>
          <w:rFonts w:ascii="Arial" w:cs="Arial" w:eastAsia="Arial" w:hAnsi="Arial"/>
          <w:color w:val="111827"/>
          <w:sz w:val="20"/>
          <w:szCs w:val="20"/>
        </w:rPr>
        <w:t xml:space="preserve">A source-aligned domain team shall register an external source via a connector and associate it with data product input ports, capturing: connector reference, source object reference, access pattern, and expected refresh cadence.</w:t>
      </w:r>
    </w:p>
    <w:p>
      <w:pPr>
        <w:spacing w:before="160" w:after="60"/>
      </w:pPr>
      <w:r>
        <w:rPr>
          <w:rFonts w:ascii="Arial" w:cs="Arial" w:eastAsia="Arial" w:hAnsi="Arial"/>
          <w:b/>
          <w:bCs/>
          <w:color w:val="1B3A6B"/>
          <w:sz w:val="20"/>
          <w:szCs w:val="20"/>
        </w:rPr>
        <w:t xml:space="preserve">F3.9 — Schema Inference</w:t>
      </w:r>
    </w:p>
    <w:p>
      <w:pPr>
        <w:spacing w:before="0" w:after="100"/>
        <w:ind w:left="360"/>
      </w:pPr>
      <w:r>
        <w:rPr>
          <w:rFonts w:ascii="Arial" w:cs="Arial" w:eastAsia="Arial" w:hAnsi="Arial"/>
          <w:color w:val="111827"/>
          <w:sz w:val="20"/>
          <w:szCs w:val="20"/>
        </w:rPr>
        <w:t xml:space="preserve">Upon successful source registration, the platform shall offer schema inference — proposing a schema for review and confirmation by the domain team. Schema inference shall never be auto-applied without explicit domain team acceptance.</w:t>
      </w:r>
    </w:p>
    <w:p>
      <w:pPr>
        <w:spacing w:before="160" w:after="60"/>
      </w:pPr>
      <w:r>
        <w:rPr>
          <w:rFonts w:ascii="Arial" w:cs="Arial" w:eastAsia="Arial" w:hAnsi="Arial"/>
          <w:b/>
          <w:bCs/>
          <w:color w:val="1B3A6B"/>
          <w:sz w:val="20"/>
          <w:szCs w:val="20"/>
        </w:rPr>
        <w:t xml:space="preserve">F3.10 — Schema Drift Detection</w:t>
      </w:r>
    </w:p>
    <w:p>
      <w:pPr>
        <w:spacing w:before="0" w:after="100"/>
        <w:ind w:left="360"/>
      </w:pPr>
      <w:r>
        <w:rPr>
          <w:rFonts w:ascii="Arial" w:cs="Arial" w:eastAsia="Arial" w:hAnsi="Arial"/>
          <w:color w:val="111827"/>
          <w:sz w:val="20"/>
          <w:szCs w:val="20"/>
        </w:rPr>
        <w:t xml:space="preserve">For registered sources with confirmed schemas, the platform shall monitor for schema drift and surface drift events to the domain team. Unresolved schema drift beyond a governance-configurable threshold shall surface as a contract violation on affected output ports.</w:t>
      </w:r>
    </w:p>
    <w:p>
      <w:pPr>
        <w:spacing w:before="160" w:after="60"/>
      </w:pPr>
      <w:r>
        <w:rPr>
          <w:rFonts w:ascii="Arial" w:cs="Arial" w:eastAsia="Arial" w:hAnsi="Arial"/>
          <w:b/>
          <w:bCs/>
          <w:color w:val="1B3A6B"/>
          <w:sz w:val="20"/>
          <w:szCs w:val="20"/>
        </w:rPr>
        <w:t xml:space="preserve">F3.11 — Source Lineage Registration</w:t>
      </w:r>
    </w:p>
    <w:p>
      <w:pPr>
        <w:spacing w:before="0" w:after="100"/>
        <w:ind w:left="360"/>
      </w:pPr>
      <w:r>
        <w:rPr>
          <w:rFonts w:ascii="Arial" w:cs="Arial" w:eastAsia="Arial" w:hAnsi="Arial"/>
          <w:color w:val="111827"/>
          <w:sz w:val="20"/>
          <w:szCs w:val="20"/>
        </w:rPr>
        <w:t xml:space="preserve">When a domain team registers a source via a connector, the platform shall automatically create a lineage node for that source in the organization's lineage graph.</w:t>
      </w:r>
    </w:p>
    <w:p>
      <w:pPr>
        <w:pStyle w:val="Heading3"/>
        <w:spacing w:before="240" w:after="120"/>
      </w:pPr>
      <w:r>
        <w:rPr>
          <w:rFonts w:ascii="Arial" w:cs="Arial" w:eastAsia="Arial" w:hAnsi="Arial"/>
          <w:b/>
          <w:bCs/>
          <w:color w:val="00A9A5"/>
          <w:sz w:val="22"/>
          <w:szCs w:val="22"/>
        </w:rPr>
        <w:t xml:space="preserve">Inter-Product Connectivity</w:t>
      </w:r>
    </w:p>
    <w:p>
      <w:pPr>
        <w:spacing w:before="160" w:after="60"/>
      </w:pPr>
      <w:r>
        <w:rPr>
          <w:rFonts w:ascii="Arial" w:cs="Arial" w:eastAsia="Arial" w:hAnsi="Arial"/>
          <w:b/>
          <w:bCs/>
          <w:color w:val="1B3A6B"/>
          <w:sz w:val="20"/>
          <w:szCs w:val="20"/>
        </w:rPr>
        <w:t xml:space="preserve">F3.12 — Data Product as Input Source</w:t>
      </w:r>
    </w:p>
    <w:p>
      <w:pPr>
        <w:spacing w:before="0" w:after="100"/>
        <w:ind w:left="360"/>
      </w:pPr>
      <w:r>
        <w:rPr>
          <w:rFonts w:ascii="Arial" w:cs="Arial" w:eastAsia="Arial" w:hAnsi="Arial"/>
          <w:color w:val="111827"/>
          <w:sz w:val="20"/>
          <w:szCs w:val="20"/>
        </w:rPr>
        <w:t xml:space="preserve">A domain team building an aggregate or consumer-aligned product shall declare another published data product as an input source via its output port. This is the primary inter-domain connectivity pattern.</w:t>
      </w:r>
    </w:p>
    <w:p>
      <w:pPr>
        <w:spacing w:before="160" w:after="60"/>
      </w:pPr>
      <w:r>
        <w:rPr>
          <w:rFonts w:ascii="Arial" w:cs="Arial" w:eastAsia="Arial" w:hAnsi="Arial"/>
          <w:b/>
          <w:bCs/>
          <w:color w:val="1B3A6B"/>
          <w:sz w:val="20"/>
          <w:szCs w:val="20"/>
        </w:rPr>
        <w:t xml:space="preserve">F3.13 — Access-Gated Input Declaration</w:t>
      </w:r>
    </w:p>
    <w:p>
      <w:pPr>
        <w:spacing w:before="0" w:after="100"/>
        <w:ind w:left="360"/>
      </w:pPr>
      <w:r>
        <w:rPr>
          <w:rFonts w:ascii="Arial" w:cs="Arial" w:eastAsia="Arial" w:hAnsi="Arial"/>
          <w:color w:val="111827"/>
          <w:sz w:val="20"/>
          <w:szCs w:val="20"/>
        </w:rPr>
        <w:t xml:space="preserve">A domain team shall not declare an input port dependency on a product without an active access grant to that product's output port. The platform shall enforce this at definition validation time.</w:t>
      </w:r>
    </w:p>
    <w:p>
      <w:pPr>
        <w:spacing w:before="160" w:after="60"/>
      </w:pPr>
      <w:r>
        <w:rPr>
          <w:rFonts w:ascii="Arial" w:cs="Arial" w:eastAsia="Arial" w:hAnsi="Arial"/>
          <w:b/>
          <w:bCs/>
          <w:color w:val="1B3A6B"/>
          <w:sz w:val="20"/>
          <w:szCs w:val="20"/>
        </w:rPr>
        <w:t xml:space="preserve">F3.14 — Inter-Product Schema Propagation</w:t>
      </w:r>
    </w:p>
    <w:p>
      <w:pPr>
        <w:spacing w:before="0" w:after="100"/>
        <w:ind w:left="360"/>
      </w:pPr>
      <w:r>
        <w:rPr>
          <w:rFonts w:ascii="Arial" w:cs="Arial" w:eastAsia="Arial" w:hAnsi="Arial"/>
          <w:color w:val="111827"/>
          <w:sz w:val="20"/>
          <w:szCs w:val="20"/>
        </w:rPr>
        <w:t xml:space="preserve">When a domain team declares a product input port referencing another product's output port, the platform shall make the upstream schema available in the authoring context automatically.</w:t>
      </w:r>
    </w:p>
    <w:p>
      <w:pPr>
        <w:spacing w:before="160" w:after="60"/>
      </w:pPr>
      <w:r>
        <w:rPr>
          <w:rFonts w:ascii="Arial" w:cs="Arial" w:eastAsia="Arial" w:hAnsi="Arial"/>
          <w:b/>
          <w:bCs/>
          <w:color w:val="1B3A6B"/>
          <w:sz w:val="20"/>
          <w:szCs w:val="20"/>
        </w:rPr>
        <w:t xml:space="preserve">F3.15 — Inter-Product SLO Dependency</w:t>
      </w:r>
    </w:p>
    <w:p>
      <w:pPr>
        <w:spacing w:before="0" w:after="100"/>
        <w:ind w:left="360"/>
      </w:pPr>
      <w:r>
        <w:rPr>
          <w:rFonts w:ascii="Arial" w:cs="Arial" w:eastAsia="Arial" w:hAnsi="Arial"/>
          <w:color w:val="111827"/>
          <w:sz w:val="20"/>
          <w:szCs w:val="20"/>
        </w:rPr>
        <w:t xml:space="preserve">When a product declares input port dependencies, the platform shall compute a dependency SLO chain — the aggregate reliability and freshness guarantees implied by upstream SLOs — and surface it during product definition authoring.</w:t>
      </w:r>
    </w:p>
    <w:p>
      <w:pPr>
        <w:pStyle w:val="Heading3"/>
        <w:spacing w:before="240" w:after="120"/>
      </w:pPr>
      <w:r>
        <w:rPr>
          <w:rFonts w:ascii="Arial" w:cs="Arial" w:eastAsia="Arial" w:hAnsi="Arial"/>
          <w:b/>
          <w:bCs/>
          <w:color w:val="00A9A5"/>
          <w:sz w:val="22"/>
          <w:szCs w:val="22"/>
        </w:rPr>
        <w:t xml:space="preserve">Platform Integration Connectivity</w:t>
      </w:r>
    </w:p>
    <w:p>
      <w:pPr>
        <w:spacing w:before="160" w:after="60"/>
      </w:pPr>
      <w:r>
        <w:rPr>
          <w:rFonts w:ascii="Arial" w:cs="Arial" w:eastAsia="Arial" w:hAnsi="Arial"/>
          <w:b/>
          <w:bCs/>
          <w:color w:val="1B3A6B"/>
          <w:sz w:val="20"/>
          <w:szCs w:val="20"/>
        </w:rPr>
        <w:t xml:space="preserve">F3.16 — Lineage Emission Endpoint</w:t>
      </w:r>
    </w:p>
    <w:p>
      <w:pPr>
        <w:spacing w:before="0" w:after="100"/>
        <w:ind w:left="360"/>
      </w:pPr>
      <w:r>
        <w:rPr>
          <w:rFonts w:ascii="Arial" w:cs="Arial" w:eastAsia="Arial" w:hAnsi="Arial"/>
          <w:color w:val="111827"/>
          <w:sz w:val="20"/>
          <w:szCs w:val="20"/>
        </w:rPr>
        <w:t xml:space="preserve">The platform shall expose a lineage emission API endpoint to which domain pipelines and agents can emit lineage events in real time. Authenticated, rate-limited, and conforming to the platform's open lineage event schema.</w:t>
      </w:r>
    </w:p>
    <w:p>
      <w:pPr>
        <w:spacing w:before="160" w:after="60"/>
      </w:pPr>
      <w:r>
        <w:rPr>
          <w:rFonts w:ascii="Arial" w:cs="Arial" w:eastAsia="Arial" w:hAnsi="Arial"/>
          <w:b/>
          <w:bCs/>
          <w:color w:val="1B3A6B"/>
          <w:sz w:val="20"/>
          <w:szCs w:val="20"/>
        </w:rPr>
        <w:t xml:space="preserve">F3.17 — Lineage Emission SDK</w:t>
      </w:r>
    </w:p>
    <w:p>
      <w:pPr>
        <w:spacing w:before="0" w:after="100"/>
        <w:ind w:left="360"/>
      </w:pPr>
      <w:r>
        <w:rPr>
          <w:rFonts w:ascii="Arial" w:cs="Arial" w:eastAsia="Arial" w:hAnsi="Arial"/>
          <w:color w:val="111827"/>
          <w:sz w:val="20"/>
          <w:szCs w:val="20"/>
        </w:rPr>
        <w:t xml:space="preserve">The platform shall provide a lightweight open-source lineage emission SDK in Python, Java, Scala, and JavaScript/TypeScript, publishable to standard package registries.</w:t>
      </w:r>
    </w:p>
    <w:p>
      <w:pPr>
        <w:spacing w:before="160" w:after="60"/>
      </w:pPr>
      <w:r>
        <w:rPr>
          <w:rFonts w:ascii="Arial" w:cs="Arial" w:eastAsia="Arial" w:hAnsi="Arial"/>
          <w:b/>
          <w:bCs/>
          <w:color w:val="1B3A6B"/>
          <w:sz w:val="20"/>
          <w:szCs w:val="20"/>
        </w:rPr>
        <w:t xml:space="preserve">F3.18 — Observability Emission Endpoint</w:t>
      </w:r>
    </w:p>
    <w:p>
      <w:pPr>
        <w:spacing w:before="0" w:after="100"/>
        <w:ind w:left="360"/>
      </w:pPr>
      <w:r>
        <w:rPr>
          <w:rFonts w:ascii="Arial" w:cs="Arial" w:eastAsia="Arial" w:hAnsi="Arial"/>
          <w:color w:val="111827"/>
          <w:sz w:val="20"/>
          <w:szCs w:val="20"/>
        </w:rPr>
        <w:t xml:space="preserve">The platform shall expose an observability emission API endpoint for domain pipelines to emit quality, freshness, and completeness metrics.</w:t>
      </w:r>
    </w:p>
    <w:p>
      <w:pPr>
        <w:spacing w:before="160" w:after="60"/>
      </w:pPr>
      <w:r>
        <w:rPr>
          <w:rFonts w:ascii="Arial" w:cs="Arial" w:eastAsia="Arial" w:hAnsi="Arial"/>
          <w:b/>
          <w:bCs/>
          <w:color w:val="1B3A6B"/>
          <w:sz w:val="20"/>
          <w:szCs w:val="20"/>
        </w:rPr>
        <w:t xml:space="preserve">F3.19 — Webhook and Event Notification</w:t>
      </w:r>
    </w:p>
    <w:p>
      <w:pPr>
        <w:spacing w:before="0" w:after="100"/>
        <w:ind w:left="360"/>
      </w:pPr>
      <w:r>
        <w:rPr>
          <w:rFonts w:ascii="Arial" w:cs="Arial" w:eastAsia="Arial" w:hAnsi="Arial"/>
          <w:color w:val="111827"/>
          <w:sz w:val="20"/>
          <w:szCs w:val="20"/>
        </w:rPr>
        <w:t xml:space="preserve">The platform shall support outbound webhook notifications to domain infrastructure for control port interactions: deprecation signals, access grant changes, policy enforcement actions, and schema drift alerts.</w:t>
      </w:r>
    </w:p>
    <w:p>
      <w:pPr>
        <w:spacing w:before="160" w:after="60"/>
      </w:pPr>
      <w:r>
        <w:rPr>
          <w:rFonts w:ascii="Arial" w:cs="Arial" w:eastAsia="Arial" w:hAnsi="Arial"/>
          <w:b/>
          <w:bCs/>
          <w:color w:val="1B3A6B"/>
          <w:sz w:val="20"/>
          <w:szCs w:val="20"/>
        </w:rPr>
        <w:t xml:space="preserve">F3.20 — CI/CD Integration</w:t>
      </w:r>
    </w:p>
    <w:p>
      <w:pPr>
        <w:spacing w:before="0" w:after="100"/>
        <w:ind w:left="360"/>
      </w:pPr>
      <w:r>
        <w:rPr>
          <w:rFonts w:ascii="Arial" w:cs="Arial" w:eastAsia="Arial" w:hAnsi="Arial"/>
          <w:color w:val="111827"/>
          <w:sz w:val="20"/>
          <w:szCs w:val="20"/>
        </w:rPr>
        <w:t xml:space="preserve">The platform shall expose definition validation and publication APIs suitable for CI/CD pipeline integration. Reference implementations shall be provided for GitHub Actions and GitLab CI.</w:t>
      </w:r>
    </w:p>
    <w:p>
      <w:pPr>
        <w:spacing w:before="160" w:after="60"/>
      </w:pPr>
      <w:r>
        <w:rPr>
          <w:rFonts w:ascii="Arial" w:cs="Arial" w:eastAsia="Arial" w:hAnsi="Arial"/>
          <w:b/>
          <w:bCs/>
          <w:color w:val="1B3A6B"/>
          <w:sz w:val="20"/>
          <w:szCs w:val="20"/>
        </w:rPr>
        <w:t xml:space="preserve">F3.21 — Semantic Query Port Registration</w:t>
      </w:r>
    </w:p>
    <w:p>
      <w:pPr>
        <w:spacing w:before="0" w:after="100"/>
        <w:ind w:left="360"/>
      </w:pPr>
      <w:r>
        <w:rPr>
          <w:rFonts w:ascii="Arial" w:cs="Arial" w:eastAsia="Arial" w:hAnsi="Arial"/>
          <w:color w:val="111827"/>
          <w:sz w:val="20"/>
          <w:szCs w:val="20"/>
        </w:rPr>
        <w:t xml:space="preserve">For products declaring a semantic query output port (F2.8), the platform shall manage registration, authentication, and routing to the federated agent query layer (Domain 6) without requiring domain teams to understand the agent layer architecture.</w:t>
      </w:r>
    </w:p>
    <w:p>
      <w:pPr>
        <w:spacing w:before="160" w:after="60"/>
      </w:pPr>
      <w:r>
        <w:rPr>
          <w:rFonts w:ascii="Arial" w:cs="Arial" w:eastAsia="Arial" w:hAnsi="Arial"/>
          <w:b/>
          <w:bCs/>
          <w:color w:val="1B3A6B"/>
          <w:sz w:val="20"/>
          <w:szCs w:val="20"/>
        </w:rPr>
        <w:t xml:space="preserve">F3.22 — Agent Source Discovery</w:t>
      </w:r>
    </w:p>
    <w:p>
      <w:pPr>
        <w:spacing w:before="0" w:after="100"/>
        <w:ind w:left="360"/>
      </w:pPr>
      <w:r>
        <w:rPr>
          <w:rFonts w:ascii="Arial" w:cs="Arial" w:eastAsia="Arial" w:hAnsi="Arial"/>
          <w:color w:val="111827"/>
          <w:sz w:val="20"/>
          <w:szCs w:val="20"/>
        </w:rPr>
        <w:t xml:space="preserve">The federated agent query layer shall have read access to connectivity metadata — schema, SLO, classification, semantic change declarations — of all products an agent is authorized to consume. The agent layer sees product interfaces, never source credentials or internals.</w:t>
      </w:r>
    </w:p>
    <w:p>
      <w:pPr>
        <w:pStyle w:val="Heading2"/>
        <w:spacing w:before="320" w:after="160"/>
      </w:pPr>
      <w:r>
        <w:rPr>
          <w:rFonts w:ascii="Arial" w:cs="Arial" w:eastAsia="Arial" w:hAnsi="Arial"/>
          <w:b/>
          <w:bCs/>
          <w:color w:val="2E75B6"/>
          <w:sz w:val="26"/>
          <w:szCs w:val="26"/>
        </w:rPr>
        <w:t xml:space="preserve">Non-Functional Requirements</w:t>
      </w:r>
    </w:p>
    <w:p>
      <w:pPr>
        <w:spacing w:before="160" w:after="60"/>
      </w:pPr>
      <w:r>
        <w:rPr>
          <w:rFonts w:ascii="Arial" w:cs="Arial" w:eastAsia="Arial" w:hAnsi="Arial"/>
          <w:b/>
          <w:bCs/>
          <w:color w:val="2E75B6"/>
          <w:sz w:val="20"/>
          <w:szCs w:val="20"/>
        </w:rPr>
        <w:t xml:space="preserve">NF3.1 — Connector Library Growth</w:t>
      </w:r>
    </w:p>
    <w:p>
      <w:pPr>
        <w:spacing w:before="0" w:after="100"/>
        <w:ind w:left="360"/>
      </w:pPr>
      <w:r>
        <w:rPr>
          <w:rFonts w:ascii="Arial" w:cs="Arial" w:eastAsia="Arial" w:hAnsi="Arial"/>
          <w:color w:val="111827"/>
          <w:sz w:val="20"/>
          <w:szCs w:val="20"/>
        </w:rPr>
        <w:t xml:space="preserve">New connectors shall be addable to the pre-built library without platform downtime and without changes to the connector framework core.</w:t>
      </w:r>
    </w:p>
    <w:p>
      <w:pPr>
        <w:spacing w:before="160" w:after="60"/>
      </w:pPr>
      <w:r>
        <w:rPr>
          <w:rFonts w:ascii="Arial" w:cs="Arial" w:eastAsia="Arial" w:hAnsi="Arial"/>
          <w:b/>
          <w:bCs/>
          <w:color w:val="2E75B6"/>
          <w:sz w:val="20"/>
          <w:szCs w:val="20"/>
        </w:rPr>
        <w:t xml:space="preserve">NF3.2 — Connectivity Test Latency</w:t>
      </w:r>
    </w:p>
    <w:p>
      <w:pPr>
        <w:spacing w:before="0" w:after="100"/>
        <w:ind w:left="360"/>
      </w:pPr>
      <w:r>
        <w:rPr>
          <w:rFonts w:ascii="Arial" w:cs="Arial" w:eastAsia="Arial" w:hAnsi="Arial"/>
          <w:color w:val="111827"/>
          <w:sz w:val="20"/>
          <w:szCs w:val="20"/>
        </w:rPr>
        <w:t xml:space="preserve">Connector validation shall complete within 10 seconds for all pre-built connector types under normal network conditions.</w:t>
      </w:r>
    </w:p>
    <w:p>
      <w:pPr>
        <w:spacing w:before="160" w:after="60"/>
      </w:pPr>
      <w:r>
        <w:rPr>
          <w:rFonts w:ascii="Arial" w:cs="Arial" w:eastAsia="Arial" w:hAnsi="Arial"/>
          <w:b/>
          <w:bCs/>
          <w:color w:val="2E75B6"/>
          <w:sz w:val="20"/>
          <w:szCs w:val="20"/>
        </w:rPr>
        <w:t xml:space="preserve">NF3.3 — Schema Inference Coverage</w:t>
      </w:r>
    </w:p>
    <w:p>
      <w:pPr>
        <w:spacing w:before="0" w:after="100"/>
        <w:ind w:left="360"/>
      </w:pPr>
      <w:r>
        <w:rPr>
          <w:rFonts w:ascii="Arial" w:cs="Arial" w:eastAsia="Arial" w:hAnsi="Arial"/>
          <w:color w:val="111827"/>
          <w:sz w:val="20"/>
          <w:szCs w:val="20"/>
        </w:rPr>
        <w:t xml:space="preserve">Schema inference shall be supported for relational, warehouse, and lakehouse connector types at MVP. Streaming, NoSQL, and file sources require manual schema declaration at MVP.</w:t>
      </w:r>
    </w:p>
    <w:p>
      <w:pPr>
        <w:spacing w:before="160" w:after="60"/>
      </w:pPr>
      <w:r>
        <w:rPr>
          <w:rFonts w:ascii="Arial" w:cs="Arial" w:eastAsia="Arial" w:hAnsi="Arial"/>
          <w:b/>
          <w:bCs/>
          <w:color w:val="2E75B6"/>
          <w:sz w:val="20"/>
          <w:szCs w:val="20"/>
        </w:rPr>
        <w:t xml:space="preserve">NF3.4 — Lineage Emission Throughput</w:t>
      </w:r>
    </w:p>
    <w:p>
      <w:pPr>
        <w:spacing w:before="0" w:after="100"/>
        <w:ind w:left="360"/>
      </w:pPr>
      <w:r>
        <w:rPr>
          <w:rFonts w:ascii="Arial" w:cs="Arial" w:eastAsia="Arial" w:hAnsi="Arial"/>
          <w:color w:val="111827"/>
          <w:sz w:val="20"/>
          <w:szCs w:val="20"/>
        </w:rPr>
        <w:t xml:space="preserve">The lineage emission endpoint shall support 10,000 lineage events per second per organization. Individual event ingestion latency shall not exceed 100ms at the 99th percentile.</w:t>
      </w:r>
    </w:p>
    <w:p>
      <w:pPr>
        <w:spacing w:before="160" w:after="60"/>
      </w:pPr>
      <w:r>
        <w:rPr>
          <w:rFonts w:ascii="Arial" w:cs="Arial" w:eastAsia="Arial" w:hAnsi="Arial"/>
          <w:b/>
          <w:bCs/>
          <w:color w:val="2E75B6"/>
          <w:sz w:val="20"/>
          <w:szCs w:val="20"/>
        </w:rPr>
        <w:t xml:space="preserve">NF3.5 — Credential Zero-Knowledge</w:t>
      </w:r>
    </w:p>
    <w:p>
      <w:pPr>
        <w:spacing w:before="0" w:after="100"/>
        <w:ind w:left="360"/>
      </w:pPr>
      <w:r>
        <w:rPr>
          <w:rFonts w:ascii="Arial" w:cs="Arial" w:eastAsia="Arial" w:hAnsi="Arial"/>
          <w:color w:val="111827"/>
          <w:sz w:val="20"/>
          <w:szCs w:val="20"/>
        </w:rPr>
        <w:t xml:space="preserve">The platform shall be architecturally incapable of retrieving or logging raw credential values. Credential references — not values — are stored. Verifiable through architecture documentation and security audit.</w:t>
      </w:r>
    </w:p>
    <w:p>
      <w:pPr>
        <w:spacing w:before="160" w:after="60"/>
      </w:pPr>
      <w:r>
        <w:rPr>
          <w:rFonts w:ascii="Arial" w:cs="Arial" w:eastAsia="Arial" w:hAnsi="Arial"/>
          <w:b/>
          <w:bCs/>
          <w:color w:val="2E75B6"/>
          <w:sz w:val="20"/>
          <w:szCs w:val="20"/>
        </w:rPr>
        <w:t xml:space="preserve">NF3.6 — SDK Footprint</w:t>
      </w:r>
    </w:p>
    <w:p>
      <w:pPr>
        <w:spacing w:before="0" w:after="100"/>
        <w:ind w:left="360"/>
      </w:pPr>
      <w:r>
        <w:rPr>
          <w:rFonts w:ascii="Arial" w:cs="Arial" w:eastAsia="Arial" w:hAnsi="Arial"/>
          <w:color w:val="111827"/>
          <w:sz w:val="20"/>
          <w:szCs w:val="20"/>
        </w:rPr>
        <w:t xml:space="preserve">The lineage emission SDK shall have minimal dependencies and shall not require framework-level dependencies (Spark, Flink, Airflow) to function.</w:t>
      </w:r>
    </w:p>
    <w:p>
      <w:pPr>
        <w:spacing w:before="160" w:after="60"/>
      </w:pPr>
      <w:r>
        <w:rPr>
          <w:rFonts w:ascii="Arial" w:cs="Arial" w:eastAsia="Arial" w:hAnsi="Arial"/>
          <w:b/>
          <w:bCs/>
          <w:color w:val="2E75B6"/>
          <w:sz w:val="20"/>
          <w:szCs w:val="20"/>
        </w:rPr>
        <w:t xml:space="preserve">NF3.7 — Connector Isolation</w:t>
      </w:r>
    </w:p>
    <w:p>
      <w:pPr>
        <w:spacing w:before="0" w:after="100"/>
        <w:ind w:left="360"/>
      </w:pPr>
      <w:r>
        <w:rPr>
          <w:rFonts w:ascii="Arial" w:cs="Arial" w:eastAsia="Arial" w:hAnsi="Arial"/>
          <w:color w:val="111827"/>
          <w:sz w:val="20"/>
          <w:szCs w:val="20"/>
        </w:rPr>
        <w:t xml:space="preserve">A failure or misconfiguration in one domain's connector shall produce zero impact on any other domain's connectors or data products.</w:t>
      </w:r>
    </w:p>
    <w:p>
      <w:pPr>
        <w:pStyle w:val="Heading2"/>
        <w:spacing w:before="320" w:after="160"/>
      </w:pPr>
      <w:r>
        <w:rPr>
          <w:rFonts w:ascii="Arial" w:cs="Arial" w:eastAsia="Arial" w:hAnsi="Arial"/>
          <w:b/>
          <w:bCs/>
          <w:color w:val="2E75B6"/>
          <w:sz w:val="26"/>
          <w:szCs w:val="26"/>
        </w:rPr>
        <w:t xml:space="preserve">Out of Scope</w:t>
      </w:r>
    </w:p>
    <w:p>
      <w:pPr>
        <w:spacing w:before="80" w:after="80"/>
        <w:ind w:left="360"/>
      </w:pPr>
      <w:r>
        <w:rPr>
          <w:rFonts w:ascii="Courier New" w:cs="Courier New" w:eastAsia="Courier New" w:hAnsi="Courier New"/>
          <w:b/>
          <w:bCs/>
          <w:color w:val="EF4444"/>
          <w:sz w:val="18"/>
          <w:szCs w:val="18"/>
        </w:rPr>
        <w:t xml:space="preserve">OS3.1  </w:t>
      </w:r>
      <w:r>
        <w:rPr>
          <w:rFonts w:ascii="Arial" w:cs="Arial" w:eastAsia="Arial" w:hAnsi="Arial"/>
          <w:color w:val="111827"/>
          <w:sz w:val="20"/>
          <w:szCs w:val="20"/>
        </w:rPr>
        <w:t xml:space="preserve">Data extraction, transformation, or loading. Connectors establish authenticated references; they do not move data through the platform.</w:t>
      </w:r>
    </w:p>
    <w:p>
      <w:pPr>
        <w:spacing w:before="80" w:after="80"/>
        <w:ind w:left="360"/>
      </w:pPr>
      <w:r>
        <w:rPr>
          <w:rFonts w:ascii="Courier New" w:cs="Courier New" w:eastAsia="Courier New" w:hAnsi="Courier New"/>
          <w:b/>
          <w:bCs/>
          <w:color w:val="EF4444"/>
          <w:sz w:val="18"/>
          <w:szCs w:val="18"/>
        </w:rPr>
        <w:t xml:space="preserve">OS3.2  </w:t>
      </w:r>
      <w:r>
        <w:rPr>
          <w:rFonts w:ascii="Arial" w:cs="Arial" w:eastAsia="Arial" w:hAnsi="Arial"/>
          <w:color w:val="111827"/>
          <w:sz w:val="20"/>
          <w:szCs w:val="20"/>
        </w:rPr>
        <w:t xml:space="preserve">Pipeline execution environment.</w:t>
      </w:r>
    </w:p>
    <w:p>
      <w:pPr>
        <w:spacing w:before="80" w:after="80"/>
        <w:ind w:left="360"/>
      </w:pPr>
      <w:r>
        <w:rPr>
          <w:rFonts w:ascii="Courier New" w:cs="Courier New" w:eastAsia="Courier New" w:hAnsi="Courier New"/>
          <w:b/>
          <w:bCs/>
          <w:color w:val="EF4444"/>
          <w:sz w:val="18"/>
          <w:szCs w:val="18"/>
        </w:rPr>
        <w:t xml:space="preserve">OS3.3  </w:t>
      </w:r>
      <w:r>
        <w:rPr>
          <w:rFonts w:ascii="Arial" w:cs="Arial" w:eastAsia="Arial" w:hAnsi="Arial"/>
          <w:color w:val="111827"/>
          <w:sz w:val="20"/>
          <w:szCs w:val="20"/>
        </w:rPr>
        <w:t xml:space="preserve">[POST-MVP] Schema inference for streaming, NoSQL, and file sources.</w:t>
      </w:r>
    </w:p>
    <w:p>
      <w:pPr>
        <w:spacing w:before="80" w:after="80"/>
        <w:ind w:left="360"/>
      </w:pPr>
      <w:r>
        <w:rPr>
          <w:rFonts w:ascii="Courier New" w:cs="Courier New" w:eastAsia="Courier New" w:hAnsi="Courier New"/>
          <w:b/>
          <w:bCs/>
          <w:color w:val="EF4444"/>
          <w:sz w:val="18"/>
          <w:szCs w:val="18"/>
        </w:rPr>
        <w:t xml:space="preserve">OS3.4  </w:t>
      </w:r>
      <w:r>
        <w:rPr>
          <w:rFonts w:ascii="Arial" w:cs="Arial" w:eastAsia="Arial" w:hAnsi="Arial"/>
          <w:color w:val="111827"/>
          <w:sz w:val="20"/>
          <w:szCs w:val="20"/>
        </w:rPr>
        <w:t xml:space="preserve">Network routing, VPN configuration, or private connectivity setup. [POST-MVP candidate: managed private connectivity via PrivateLink / Private Service Connect.]</w:t>
      </w:r>
    </w:p>
    <w:p>
      <w:pPr>
        <w:spacing w:before="80" w:after="80"/>
        <w:ind w:left="360"/>
      </w:pPr>
      <w:r>
        <w:rPr>
          <w:rFonts w:ascii="Courier New" w:cs="Courier New" w:eastAsia="Courier New" w:hAnsi="Courier New"/>
          <w:b/>
          <w:bCs/>
          <w:color w:val="EF4444"/>
          <w:sz w:val="18"/>
          <w:szCs w:val="18"/>
        </w:rPr>
        <w:t xml:space="preserve">OS3.5  </w:t>
      </w:r>
      <w:r>
        <w:rPr>
          <w:rFonts w:ascii="Arial" w:cs="Arial" w:eastAsia="Arial" w:hAnsi="Arial"/>
          <w:color w:val="111827"/>
          <w:sz w:val="20"/>
          <w:szCs w:val="20"/>
        </w:rPr>
        <w:t xml:space="preserve">Cross-domain connector sharing. Cross-domain data access is exclusively through published data product output ports.</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Domain 3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F3.1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Connector as first-class domain-owned entity</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F3.2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Pre-built connector library across 7 source categories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F3.3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Connector SDK for custom development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F3.4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 validation on registration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F3.5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Continuous connector health monitoring with observability propagation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F3.6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Credential management via external secrets managers, zero raw credential storage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F3.7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Connector scope isolation — no cross-domain sharing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F3.8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Source registration with access pattern and cadence declaration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F3.9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Schema inference — proposed, never auto-applied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F3.10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Schema drift detection with configurable contract violation threshold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F3.11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Source lineage node auto-created on connector registration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F3.12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product as first-class input source type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F3.13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Access-gated input declaration — unauthorized dependency blocked at validation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F3.14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Inter-product schema propagation in authoring context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F3.15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Dependency SLO chain computation — surfaced during authoring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F3.16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emission API — authenticated, rate-limited, open schema</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F3.17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emission SDK — Python, Java, Scala, JavaScript/TypeScript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F3.18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 emission API</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F3.19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Outbound webhook notifications for control port interactions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F3.20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CI/CD integration — GitHub Actions and GitLab CI reference implementations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F3.21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Semantic query port registration wired to agent layer by platform</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F3.22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layer sees product interfaces only — never source credentials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NF3.1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Connector library independently addable without downtime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NF3.2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 validation under 10 seconds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NF3.3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Schema inference for relational, warehouse, lakehouse at MVP</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NF3.4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emission: 10,000 events/sec, 100ms p99 latency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NF3.5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Credential zero-knowledge — architecturally enforced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NF3.6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SDK minimal dependency footprint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NF3.7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Connector failure isolation — zero cross-domain impact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OS3.1</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extraction, transformation, loading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OS3.2</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Pipeline execution environment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OS3.3</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Schema inference for streaming, NoSQL, file sources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OS3.4</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Managed private connectivity</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OS3.5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Cross-domain connector sharing</w:t>
            </w:r>
          </w:p>
        </w:tc>
      </w:tr>
    </w:tbl>
    <w:p>
      <w:pPr>
        <w:spacing w:before="0" w:after="60"/>
      </w:pPr>
      <w:r>
        <w:rPr>
          <w:rFonts w:ascii="Arial" w:cs="Arial" w:eastAsia="Arial" w:hAnsi="Arial"/>
          <w:b/>
          <w:bCs/>
          <w:color w:val="00A9A5"/>
          <w:sz w:val="20"/>
          <w:szCs w:val="20"/>
        </w:rPr>
        <w:t xml:space="preserve">Domain 4</w:t>
      </w:r>
    </w:p>
    <w:p>
      <w:pPr>
        <w:pStyle w:val="Heading1"/>
        <w:pageBreakBefore/>
        <w:spacing w:before="0" w:after="180"/>
      </w:pPr>
      <w:r>
        <w:rPr>
          <w:rFonts w:ascii="Arial" w:cs="Arial" w:eastAsia="Arial" w:hAnsi="Arial"/>
          <w:b/>
          <w:bCs/>
          <w:color w:val="1B3A6B"/>
          <w:sz w:val="36"/>
          <w:szCs w:val="36"/>
        </w:rPr>
        <w:t xml:space="preserve">Governance Engine</w:t>
      </w:r>
    </w:p>
    <w:p>
      <w:pPr>
        <w:spacing w:before="0" w:after="240"/>
      </w:pPr>
      <w:r>
        <w:rPr>
          <w:rFonts w:ascii="Arial" w:cs="Arial" w:eastAsia="Arial" w:hAnsi="Arial"/>
          <w:i/>
          <w:iCs/>
          <w:color w:val="6B7280"/>
          <w:sz w:val="20"/>
          <w:szCs w:val="20"/>
        </w:rPr>
        <w:t xml:space="preserve">The computational embodiment of the organization's federated governance model. Governance rules are configured through a declarative UI, stored as versioned policy artifacts, and enforced automatically across all domains and data products.</w:t>
      </w:r>
    </w:p>
    <w:p>
      <w:pPr>
        <w:pBdr>
          <w:bottom w:val="single" w:color="2E75B6" w:sz="6" w:space="1"/>
        </w:pBdr>
        <w:spacing w:before="160" w:after="160"/>
      </w:pPr>
      <w:r>
        <w:t xml:space="preserve"/>
      </w:r>
    </w:p>
    <w:p>
      <w:pPr>
        <w:spacing w:before="60" w:after="80"/>
      </w:pPr>
      <w:r>
        <w:rPr>
          <w:rFonts w:ascii="Arial" w:cs="Arial" w:eastAsia="Arial" w:hAnsi="Arial"/>
          <w:i/>
          <w:iCs/>
          <w:color w:val="6B7280"/>
          <w:sz w:val="20"/>
          <w:szCs w:val="20"/>
        </w:rPr>
        <w:t xml:space="preserve">A deliberate design decision: governance policy is authored through a declarative UI, not code. The governance team should not need to become engineers to govern effectively. The platform makes compliant behavior the path of least resistance — the right thing is always the easy thing.</w:t>
      </w:r>
    </w:p>
    <w:p>
      <w:pPr>
        <w:spacing w:before="120" w:after="120"/>
      </w:pPr>
      <w:r>
        <w:t xml:space="preserve"/>
      </w:r>
    </w:p>
    <w:p>
      <w:pPr>
        <w:pStyle w:val="Heading2"/>
        <w:spacing w:before="320" w:after="160"/>
      </w:pPr>
      <w:r>
        <w:rPr>
          <w:rFonts w:ascii="Arial" w:cs="Arial" w:eastAsia="Arial" w:hAnsi="Arial"/>
          <w:b/>
          <w:bCs/>
          <w:color w:val="2E75B6"/>
          <w:sz w:val="26"/>
          <w:szCs w:val="26"/>
        </w:rPr>
        <w:t xml:space="preserve">Functional Requirements</w:t>
      </w:r>
    </w:p>
    <w:p>
      <w:pPr>
        <w:pStyle w:val="Heading3"/>
        <w:spacing w:before="240" w:after="120"/>
      </w:pPr>
      <w:r>
        <w:rPr>
          <w:rFonts w:ascii="Arial" w:cs="Arial" w:eastAsia="Arial" w:hAnsi="Arial"/>
          <w:b/>
          <w:bCs/>
          <w:color w:val="00A9A5"/>
          <w:sz w:val="22"/>
          <w:szCs w:val="22"/>
        </w:rPr>
        <w:t xml:space="preserve">Governance Design Principles</w:t>
      </w:r>
    </w:p>
    <w:p>
      <w:pPr>
        <w:spacing w:before="160" w:after="60"/>
      </w:pPr>
      <w:r>
        <w:rPr>
          <w:rFonts w:ascii="Arial" w:cs="Arial" w:eastAsia="Arial" w:hAnsi="Arial"/>
          <w:b/>
          <w:bCs/>
          <w:color w:val="1B3A6B"/>
          <w:sz w:val="20"/>
          <w:szCs w:val="20"/>
        </w:rPr>
        <w:t xml:space="preserve">F4.1 — Governance as Computation, Not Process</w:t>
      </w:r>
    </w:p>
    <w:p>
      <w:pPr>
        <w:spacing w:before="0" w:after="100"/>
        <w:ind w:left="360"/>
      </w:pPr>
      <w:r>
        <w:rPr>
          <w:rFonts w:ascii="Arial" w:cs="Arial" w:eastAsia="Arial" w:hAnsi="Arial"/>
          <w:color w:val="111827"/>
          <w:sz w:val="20"/>
          <w:szCs w:val="20"/>
        </w:rPr>
        <w:t xml:space="preserve">The platform shall enforce governance rules computationally and automatically — not through manual review workflows or human checkpoints unless explicitly configured. A data product violating a governance rule shall be flagged, blocked, or remediated by the platform without requiring manual governance team intervention.</w:t>
      </w:r>
    </w:p>
    <w:p>
      <w:pPr>
        <w:spacing w:before="160" w:after="60"/>
      </w:pPr>
      <w:r>
        <w:rPr>
          <w:rFonts w:ascii="Arial" w:cs="Arial" w:eastAsia="Arial" w:hAnsi="Arial"/>
          <w:b/>
          <w:bCs/>
          <w:color w:val="1B3A6B"/>
          <w:sz w:val="20"/>
          <w:szCs w:val="20"/>
        </w:rPr>
        <w:t xml:space="preserve">F4.2 — The Right Thing Is the Easy Thing</w:t>
      </w:r>
    </w:p>
    <w:p>
      <w:pPr>
        <w:spacing w:before="0" w:after="100"/>
        <w:ind w:left="360"/>
      </w:pPr>
      <w:r>
        <w:rPr>
          <w:rFonts w:ascii="Arial" w:cs="Arial" w:eastAsia="Arial" w:hAnsi="Arial"/>
          <w:color w:val="111827"/>
          <w:sz w:val="20"/>
          <w:szCs w:val="20"/>
        </w:rPr>
        <w:t xml:space="preserve">Compliant behavior shall always be the path of least resistance for every persona. Policy configuration shall be achievable through the declarative UI without specialist knowledge. Non-compliance shall be surfaced clearly, early, and with actionable remediation guidance — never as a surprise at publication time.</w:t>
      </w:r>
    </w:p>
    <w:p>
      <w:pPr>
        <w:spacing w:before="160" w:after="60"/>
      </w:pPr>
      <w:r>
        <w:rPr>
          <w:rFonts w:ascii="Arial" w:cs="Arial" w:eastAsia="Arial" w:hAnsi="Arial"/>
          <w:b/>
          <w:bCs/>
          <w:color w:val="1B3A6B"/>
          <w:sz w:val="20"/>
          <w:szCs w:val="20"/>
        </w:rPr>
        <w:t xml:space="preserve">F4.3 — Governance Layer Separation</w:t>
      </w:r>
    </w:p>
    <w:p>
      <w:pPr>
        <w:spacing w:before="0" w:after="100"/>
        <w:ind w:left="360"/>
      </w:pPr>
      <w:r>
        <w:rPr>
          <w:rFonts w:ascii="Arial" w:cs="Arial" w:eastAsia="Arial" w:hAnsi="Arial"/>
          <w:color w:val="111827"/>
          <w:sz w:val="20"/>
          <w:szCs w:val="20"/>
        </w:rPr>
        <w:t xml:space="preserve">The governance layer shall be architecturally and operationally separate from all domain activity. Governance team members shall not have access to domain-internal data, unpublished definitions, or connector configurations. Their authority is limited to: policy authoring, compliance monitoring, override actions, and classification taxonomy management.</w:t>
      </w:r>
    </w:p>
    <w:p>
      <w:pPr>
        <w:pStyle w:val="Heading3"/>
        <w:spacing w:before="240" w:after="120"/>
      </w:pPr>
      <w:r>
        <w:rPr>
          <w:rFonts w:ascii="Arial" w:cs="Arial" w:eastAsia="Arial" w:hAnsi="Arial"/>
          <w:b/>
          <w:bCs/>
          <w:color w:val="00A9A5"/>
          <w:sz w:val="22"/>
          <w:szCs w:val="22"/>
        </w:rPr>
        <w:t xml:space="preserve">Policy Authoring</w:t>
      </w:r>
    </w:p>
    <w:p>
      <w:pPr>
        <w:spacing w:before="160" w:after="60"/>
      </w:pPr>
      <w:r>
        <w:rPr>
          <w:rFonts w:ascii="Arial" w:cs="Arial" w:eastAsia="Arial" w:hAnsi="Arial"/>
          <w:b/>
          <w:bCs/>
          <w:color w:val="1B3A6B"/>
          <w:sz w:val="20"/>
          <w:szCs w:val="20"/>
        </w:rPr>
        <w:t xml:space="preserve">F4.4 — Declarative Policy UI</w:t>
      </w:r>
    </w:p>
    <w:p>
      <w:pPr>
        <w:spacing w:before="0" w:after="100"/>
        <w:ind w:left="360"/>
      </w:pPr>
      <w:r>
        <w:rPr>
          <w:rFonts w:ascii="Arial" w:cs="Arial" w:eastAsia="Arial" w:hAnsi="Arial"/>
          <w:color w:val="111827"/>
          <w:sz w:val="20"/>
          <w:szCs w:val="20"/>
        </w:rPr>
        <w:t xml:space="preserve">All governance policy shall be authored through a structured, declarative web interface using plain-language descriptions, contextual help, and real-time impact previews. No coding, scripting, or query language knowledge shall be required.</w:t>
      </w:r>
    </w:p>
    <w:p>
      <w:pPr>
        <w:spacing w:before="160" w:after="60"/>
      </w:pPr>
      <w:r>
        <w:rPr>
          <w:rFonts w:ascii="Arial" w:cs="Arial" w:eastAsia="Arial" w:hAnsi="Arial"/>
          <w:b/>
          <w:bCs/>
          <w:color w:val="1B3A6B"/>
          <w:sz w:val="20"/>
          <w:szCs w:val="20"/>
        </w:rPr>
        <w:t xml:space="preserve">F4.5 — Policy as Versioned Artifact</w:t>
      </w:r>
    </w:p>
    <w:p>
      <w:pPr>
        <w:spacing w:before="0" w:after="100"/>
        <w:ind w:left="360"/>
      </w:pPr>
      <w:r>
        <w:rPr>
          <w:rFonts w:ascii="Arial" w:cs="Arial" w:eastAsia="Arial" w:hAnsi="Arial"/>
          <w:color w:val="111827"/>
          <w:sz w:val="20"/>
          <w:szCs w:val="20"/>
        </w:rPr>
        <w:t xml:space="preserve">Despite UI authoring, every policy shall be stored as a versioned, machine-readable artifact. Complete version history shall be maintained. Governance teams shall view, compare, and roll back to any prior version. Policy artifacts shall be exportable for external audit.</w:t>
      </w:r>
    </w:p>
    <w:p>
      <w:pPr>
        <w:spacing w:before="160" w:after="60"/>
      </w:pPr>
      <w:r>
        <w:rPr>
          <w:rFonts w:ascii="Arial" w:cs="Arial" w:eastAsia="Arial" w:hAnsi="Arial"/>
          <w:b/>
          <w:bCs/>
          <w:color w:val="1B3A6B"/>
          <w:sz w:val="20"/>
          <w:szCs w:val="20"/>
        </w:rPr>
        <w:t xml:space="preserve">F4.6 — Policy Domains</w:t>
      </w:r>
    </w:p>
    <w:p>
      <w:pPr>
        <w:spacing w:before="0" w:after="100"/>
        <w:ind w:left="360"/>
      </w:pPr>
      <w:r>
        <w:rPr>
          <w:rFonts w:ascii="Arial" w:cs="Arial" w:eastAsia="Arial" w:hAnsi="Arial"/>
          <w:color w:val="111827"/>
          <w:sz w:val="20"/>
          <w:szCs w:val="20"/>
        </w:rPr>
        <w:t xml:space="preserve">The governance UI shall organize policy into eight independently configurable domains: Product Schema Policy, Classification Taxonomy Policy, Versioning &amp; Deprecation Policy, Access Control Policy, Lineage Policy, SLO Policy, Agent Access Policy, and Interoperability Policy.</w:t>
      </w:r>
    </w:p>
    <w:p>
      <w:pPr>
        <w:spacing w:before="160" w:after="60"/>
      </w:pPr>
      <w:r>
        <w:rPr>
          <w:rFonts w:ascii="Arial" w:cs="Arial" w:eastAsia="Arial" w:hAnsi="Arial"/>
          <w:b/>
          <w:bCs/>
          <w:color w:val="1B3A6B"/>
          <w:sz w:val="20"/>
          <w:szCs w:val="20"/>
        </w:rPr>
        <w:t xml:space="preserve">F4.7 — Policy Rule Builder</w:t>
      </w:r>
    </w:p>
    <w:p>
      <w:pPr>
        <w:spacing w:before="0" w:after="100"/>
        <w:ind w:left="360"/>
      </w:pPr>
      <w:r>
        <w:rPr>
          <w:rFonts w:ascii="Arial" w:cs="Arial" w:eastAsia="Arial" w:hAnsi="Arial"/>
          <w:color w:val="111827"/>
          <w:sz w:val="20"/>
          <w:szCs w:val="20"/>
        </w:rPr>
        <w:t xml:space="preserve">A point-and-click rule builder shall allow governance teams to construct conditional rules using dropdown menus populated with the organization's actual domains, classifications, and metadata attributes. Logical operators (AND, OR, NOT) shall be presented as visual connectors. The completed rule shall display as a plain-language sentence confirming intent.</w:t>
      </w:r>
    </w:p>
    <w:p>
      <w:pPr>
        <w:spacing w:before="160" w:after="60"/>
      </w:pPr>
      <w:r>
        <w:rPr>
          <w:rFonts w:ascii="Arial" w:cs="Arial" w:eastAsia="Arial" w:hAnsi="Arial"/>
          <w:b/>
          <w:bCs/>
          <w:color w:val="1B3A6B"/>
          <w:sz w:val="20"/>
          <w:szCs w:val="20"/>
        </w:rPr>
        <w:t xml:space="preserve">F4.8 — Policy Impact Preview</w:t>
      </w:r>
    </w:p>
    <w:p>
      <w:pPr>
        <w:spacing w:before="0" w:after="100"/>
        <w:ind w:left="360"/>
      </w:pPr>
      <w:r>
        <w:rPr>
          <w:rFonts w:ascii="Arial" w:cs="Arial" w:eastAsia="Arial" w:hAnsi="Arial"/>
          <w:color w:val="111827"/>
          <w:sz w:val="20"/>
          <w:szCs w:val="20"/>
        </w:rPr>
        <w:t xml:space="preserve">Before publishing a policy change, the UI shall present a preview showing: affected data products, products that would become non-compliant, impacted domains, and estimated remediation effort. The preview shall be generated from live platform data and shall complete within 3 seconds.</w:t>
      </w:r>
    </w:p>
    <w:p>
      <w:pPr>
        <w:spacing w:before="160" w:after="60"/>
      </w:pPr>
      <w:r>
        <w:rPr>
          <w:rFonts w:ascii="Arial" w:cs="Arial" w:eastAsia="Arial" w:hAnsi="Arial"/>
          <w:b/>
          <w:bCs/>
          <w:color w:val="1B3A6B"/>
          <w:sz w:val="20"/>
          <w:szCs w:val="20"/>
        </w:rPr>
        <w:t xml:space="preserve">F4.9 — Policy Grace Periods</w:t>
      </w:r>
    </w:p>
    <w:p>
      <w:pPr>
        <w:spacing w:before="0" w:after="100"/>
        <w:ind w:left="360"/>
      </w:pPr>
      <w:r>
        <w:rPr>
          <w:rFonts w:ascii="Arial" w:cs="Arial" w:eastAsia="Arial" w:hAnsi="Arial"/>
          <w:color w:val="111827"/>
          <w:sz w:val="20"/>
          <w:szCs w:val="20"/>
        </w:rPr>
        <w:t xml:space="preserve">Policy changes that make existing compliant products non-compliant shall require a configured grace period — a window during which compliance drift is warned but not blocking. Grace periods shall never be zero for breaking policy changes.</w:t>
      </w:r>
    </w:p>
    <w:p>
      <w:pPr>
        <w:spacing w:before="160" w:after="60"/>
      </w:pPr>
      <w:r>
        <w:rPr>
          <w:rFonts w:ascii="Arial" w:cs="Arial" w:eastAsia="Arial" w:hAnsi="Arial"/>
          <w:b/>
          <w:bCs/>
          <w:color w:val="1B3A6B"/>
          <w:sz w:val="20"/>
          <w:szCs w:val="20"/>
        </w:rPr>
        <w:t xml:space="preserve">F4.10 — Policy Templates</w:t>
      </w:r>
    </w:p>
    <w:p>
      <w:pPr>
        <w:spacing w:before="0" w:after="100"/>
        <w:ind w:left="360"/>
      </w:pPr>
      <w:r>
        <w:rPr>
          <w:rFonts w:ascii="Arial" w:cs="Arial" w:eastAsia="Arial" w:hAnsi="Arial"/>
          <w:color w:val="111827"/>
          <w:sz w:val="20"/>
          <w:szCs w:val="20"/>
        </w:rPr>
        <w:t xml:space="preserve">The platform shall ship with governance policy templates aligned to GDPR, CCPA, HIPAA, SOC 2, and data mesh best practices. Governance teams may adopt a template as a starting point and customize through the declarative UI.</w:t>
      </w:r>
    </w:p>
    <w:p>
      <w:pPr>
        <w:pStyle w:val="Heading3"/>
        <w:spacing w:before="240" w:after="120"/>
      </w:pPr>
      <w:r>
        <w:rPr>
          <w:rFonts w:ascii="Arial" w:cs="Arial" w:eastAsia="Arial" w:hAnsi="Arial"/>
          <w:b/>
          <w:bCs/>
          <w:color w:val="00A9A5"/>
          <w:sz w:val="22"/>
          <w:szCs w:val="22"/>
        </w:rPr>
        <w:t xml:space="preserve">The Floor / Extension Model</w:t>
      </w:r>
    </w:p>
    <w:p>
      <w:pPr>
        <w:spacing w:before="160" w:after="60"/>
      </w:pPr>
      <w:r>
        <w:rPr>
          <w:rFonts w:ascii="Arial" w:cs="Arial" w:eastAsia="Arial" w:hAnsi="Arial"/>
          <w:b/>
          <w:bCs/>
          <w:color w:val="1B3A6B"/>
          <w:sz w:val="20"/>
          <w:szCs w:val="20"/>
        </w:rPr>
        <w:t xml:space="preserve">F4.11 — Global Policy Floor</w:t>
      </w:r>
    </w:p>
    <w:p>
      <w:pPr>
        <w:spacing w:before="0" w:after="100"/>
        <w:ind w:left="360"/>
      </w:pPr>
      <w:r>
        <w:rPr>
          <w:rFonts w:ascii="Arial" w:cs="Arial" w:eastAsia="Arial" w:hAnsi="Arial"/>
          <w:color w:val="111827"/>
          <w:sz w:val="20"/>
          <w:szCs w:val="20"/>
        </w:rPr>
        <w:t xml:space="preserve">Policies published by the governance layer constitute the global policy floor — the minimum viable governance standard every domain and product must meet. Domains cannot opt out of, weaken, or override floor policies.</w:t>
      </w:r>
    </w:p>
    <w:p>
      <w:pPr>
        <w:spacing w:before="160" w:after="60"/>
      </w:pPr>
      <w:r>
        <w:rPr>
          <w:rFonts w:ascii="Arial" w:cs="Arial" w:eastAsia="Arial" w:hAnsi="Arial"/>
          <w:b/>
          <w:bCs/>
          <w:color w:val="1B3A6B"/>
          <w:sz w:val="20"/>
          <w:szCs w:val="20"/>
        </w:rPr>
        <w:t xml:space="preserve">F4.12 — Domain Policy Extensions</w:t>
      </w:r>
    </w:p>
    <w:p>
      <w:pPr>
        <w:spacing w:before="0" w:after="100"/>
        <w:ind w:left="360"/>
      </w:pPr>
      <w:r>
        <w:rPr>
          <w:rFonts w:ascii="Arial" w:cs="Arial" w:eastAsia="Arial" w:hAnsi="Arial"/>
          <w:color w:val="111827"/>
          <w:sz w:val="20"/>
          <w:szCs w:val="20"/>
        </w:rPr>
        <w:t xml:space="preserve">Domain teams shall define policy extensions within their domain — additional requirements applying only to their products. Extensions shall be authored through the same declarative UI, scoped to the domain. Extensions may only add requirements; they shall never reduce or contradict floor requirements.</w:t>
      </w:r>
    </w:p>
    <w:p>
      <w:pPr>
        <w:spacing w:before="160" w:after="60"/>
      </w:pPr>
      <w:r>
        <w:rPr>
          <w:rFonts w:ascii="Arial" w:cs="Arial" w:eastAsia="Arial" w:hAnsi="Arial"/>
          <w:b/>
          <w:bCs/>
          <w:color w:val="1B3A6B"/>
          <w:sz w:val="20"/>
          <w:szCs w:val="20"/>
        </w:rPr>
        <w:t xml:space="preserve">F4.13 — Effective Policy Computation</w:t>
      </w:r>
    </w:p>
    <w:p>
      <w:pPr>
        <w:spacing w:before="0" w:after="100"/>
        <w:ind w:left="360"/>
      </w:pPr>
      <w:r>
        <w:rPr>
          <w:rFonts w:ascii="Arial" w:cs="Arial" w:eastAsia="Arial" w:hAnsi="Arial"/>
          <w:color w:val="111827"/>
          <w:sz w:val="20"/>
          <w:szCs w:val="20"/>
        </w:rPr>
        <w:t xml:space="preserve">For any data product, the platform shall compute and expose the effective policy — the union of the governance floor and all applicable domain extensions. Domain teams shall view their effective policy at any time during authoring.</w:t>
      </w:r>
    </w:p>
    <w:p>
      <w:pPr>
        <w:spacing w:before="160" w:after="60"/>
      </w:pPr>
      <w:r>
        <w:rPr>
          <w:rFonts w:ascii="Arial" w:cs="Arial" w:eastAsia="Arial" w:hAnsi="Arial"/>
          <w:b/>
          <w:bCs/>
          <w:color w:val="1B3A6B"/>
          <w:sz w:val="20"/>
          <w:szCs w:val="20"/>
        </w:rPr>
        <w:t xml:space="preserve">F4.14 — Extension Inheritance Transparency</w:t>
      </w:r>
    </w:p>
    <w:p>
      <w:pPr>
        <w:spacing w:before="0" w:after="100"/>
        <w:ind w:left="360"/>
      </w:pPr>
      <w:r>
        <w:rPr>
          <w:rFonts w:ascii="Arial" w:cs="Arial" w:eastAsia="Arial" w:hAnsi="Arial"/>
          <w:color w:val="111827"/>
          <w:sz w:val="20"/>
          <w:szCs w:val="20"/>
        </w:rPr>
        <w:t xml:space="preserve">The effective policy view shall clearly indicate for each rule whether it originates from the governance floor (non-negotiable) or a domain extension (domain-owned).</w:t>
      </w:r>
    </w:p>
    <w:p>
      <w:pPr>
        <w:spacing w:before="160" w:after="60"/>
      </w:pPr>
      <w:r>
        <w:rPr>
          <w:rFonts w:ascii="Arial" w:cs="Arial" w:eastAsia="Arial" w:hAnsi="Arial"/>
          <w:b/>
          <w:bCs/>
          <w:color w:val="1B3A6B"/>
          <w:sz w:val="20"/>
          <w:szCs w:val="20"/>
        </w:rPr>
        <w:t xml:space="preserve">F4.15 — Cross-Domain Policy Visibility</w:t>
      </w:r>
    </w:p>
    <w:p>
      <w:pPr>
        <w:spacing w:before="0" w:after="100"/>
        <w:ind w:left="360"/>
      </w:pPr>
      <w:r>
        <w:rPr>
          <w:rFonts w:ascii="Arial" w:cs="Arial" w:eastAsia="Arial" w:hAnsi="Arial"/>
          <w:color w:val="111827"/>
          <w:sz w:val="20"/>
          <w:szCs w:val="20"/>
        </w:rPr>
        <w:t xml:space="preserve">Governance teams shall have visibility into all domain policy extensions across the organization. Domain teams shall only have visibility into their own extensions and the global floor.</w:t>
      </w:r>
    </w:p>
    <w:p>
      <w:pPr>
        <w:pStyle w:val="Heading3"/>
        <w:spacing w:before="240" w:after="120"/>
      </w:pPr>
      <w:r>
        <w:rPr>
          <w:rFonts w:ascii="Arial" w:cs="Arial" w:eastAsia="Arial" w:hAnsi="Arial"/>
          <w:b/>
          <w:bCs/>
          <w:color w:val="00A9A5"/>
          <w:sz w:val="22"/>
          <w:szCs w:val="22"/>
        </w:rPr>
        <w:t xml:space="preserve">Policy Enforcement</w:t>
      </w:r>
    </w:p>
    <w:p>
      <w:pPr>
        <w:spacing w:before="160" w:after="60"/>
      </w:pPr>
      <w:r>
        <w:rPr>
          <w:rFonts w:ascii="Arial" w:cs="Arial" w:eastAsia="Arial" w:hAnsi="Arial"/>
          <w:b/>
          <w:bCs/>
          <w:color w:val="1B3A6B"/>
          <w:sz w:val="20"/>
          <w:szCs w:val="20"/>
        </w:rPr>
        <w:t xml:space="preserve">F4.16 — Publication-Time Enforcement</w:t>
      </w:r>
    </w:p>
    <w:p>
      <w:pPr>
        <w:spacing w:before="0" w:after="100"/>
        <w:ind w:left="360"/>
      </w:pPr>
      <w:r>
        <w:rPr>
          <w:rFonts w:ascii="Arial" w:cs="Arial" w:eastAsia="Arial" w:hAnsi="Arial"/>
          <w:color w:val="111827"/>
          <w:sz w:val="20"/>
          <w:szCs w:val="20"/>
        </w:rPr>
        <w:t xml:space="preserve">The platform shall enforce the effective policy at publication time. A non-compliant product shall not be publishable. All policy violations shall be surfaced simultaneously with plain-language descriptions and remediation guidance.</w:t>
      </w:r>
    </w:p>
    <w:p>
      <w:pPr>
        <w:spacing w:before="160" w:after="60"/>
      </w:pPr>
      <w:r>
        <w:rPr>
          <w:rFonts w:ascii="Arial" w:cs="Arial" w:eastAsia="Arial" w:hAnsi="Arial"/>
          <w:b/>
          <w:bCs/>
          <w:color w:val="1B3A6B"/>
          <w:sz w:val="20"/>
          <w:szCs w:val="20"/>
        </w:rPr>
        <w:t xml:space="preserve">F4.17 — Continuous Compliance Monitoring</w:t>
      </w:r>
    </w:p>
    <w:p>
      <w:pPr>
        <w:spacing w:before="0" w:after="100"/>
        <w:ind w:left="360"/>
      </w:pPr>
      <w:r>
        <w:rPr>
          <w:rFonts w:ascii="Arial" w:cs="Arial" w:eastAsia="Arial" w:hAnsi="Arial"/>
          <w:color w:val="111827"/>
          <w:sz w:val="20"/>
          <w:szCs w:val="20"/>
        </w:rPr>
        <w:t xml:space="preserve">Policy enforcement shall be continuous — not limited to publication time. The platform shall detect compliance drift: products that were compliant when published but have become non-compliant due to policy changes, schema drift, SLO violations, or connector health degradation.</w:t>
      </w:r>
    </w:p>
    <w:p>
      <w:pPr>
        <w:spacing w:before="160" w:after="60"/>
      </w:pPr>
      <w:r>
        <w:rPr>
          <w:rFonts w:ascii="Arial" w:cs="Arial" w:eastAsia="Arial" w:hAnsi="Arial"/>
          <w:b/>
          <w:bCs/>
          <w:color w:val="1B3A6B"/>
          <w:sz w:val="20"/>
          <w:szCs w:val="20"/>
        </w:rPr>
        <w:t xml:space="preserve">F4.18 — Compliance State</w:t>
      </w:r>
    </w:p>
    <w:p>
      <w:pPr>
        <w:spacing w:before="0" w:after="100"/>
        <w:ind w:left="360"/>
      </w:pPr>
      <w:r>
        <w:rPr>
          <w:rFonts w:ascii="Arial" w:cs="Arial" w:eastAsia="Arial" w:hAnsi="Arial"/>
          <w:color w:val="111827"/>
          <w:sz w:val="20"/>
          <w:szCs w:val="20"/>
        </w:rPr>
        <w:t xml:space="preserve">Every published data product shall carry one of four compliance states: Compliant, Drift Detected, Grace Period, or Non-Compliant. Compliance state shall be visible in the discovery port and queryable by consumers and agents.</w:t>
      </w:r>
    </w:p>
    <w:p>
      <w:pPr>
        <w:spacing w:before="160" w:after="60"/>
      </w:pPr>
      <w:r>
        <w:rPr>
          <w:rFonts w:ascii="Arial" w:cs="Arial" w:eastAsia="Arial" w:hAnsi="Arial"/>
          <w:b/>
          <w:bCs/>
          <w:color w:val="1B3A6B"/>
          <w:sz w:val="20"/>
          <w:szCs w:val="20"/>
        </w:rPr>
        <w:t xml:space="preserve">F4.19 — Enforcement Actions</w:t>
      </w:r>
    </w:p>
    <w:p>
      <w:pPr>
        <w:spacing w:before="0" w:after="100"/>
        <w:ind w:left="360"/>
      </w:pPr>
      <w:r>
        <w:rPr>
          <w:rFonts w:ascii="Arial" w:cs="Arial" w:eastAsia="Arial" w:hAnsi="Arial"/>
          <w:color w:val="111827"/>
          <w:sz w:val="20"/>
          <w:szCs w:val="20"/>
        </w:rPr>
        <w:t xml:space="preserve">The governance engine shall support five enforcement actions configurable per policy rule: Warn (surface warning, no blocking), Block Publication (prevent non-compliant publication), Restrict Access (block new consumer grants), Notify Governance (alert for manual review), and Auto-Remediate (for specific well-defined gaps with domain team confirmation).</w:t>
      </w:r>
    </w:p>
    <w:p>
      <w:pPr>
        <w:spacing w:before="160" w:after="60"/>
      </w:pPr>
      <w:r>
        <w:rPr>
          <w:rFonts w:ascii="Arial" w:cs="Arial" w:eastAsia="Arial" w:hAnsi="Arial"/>
          <w:b/>
          <w:bCs/>
          <w:color w:val="1B3A6B"/>
          <w:sz w:val="20"/>
          <w:szCs w:val="20"/>
        </w:rPr>
        <w:t xml:space="preserve">F4.20 — Governance Override</w:t>
      </w:r>
    </w:p>
    <w:p>
      <w:pPr>
        <w:spacing w:before="0" w:after="100"/>
        <w:ind w:left="360"/>
      </w:pPr>
      <w:r>
        <w:rPr>
          <w:rFonts w:ascii="Arial" w:cs="Arial" w:eastAsia="Arial" w:hAnsi="Arial"/>
          <w:color w:val="111827"/>
          <w:sz w:val="20"/>
          <w:szCs w:val="20"/>
        </w:rPr>
        <w:t xml:space="preserve">The governance layer shall grant time-limited compliance exceptions recording: rationale, granting team member, and expiration date. Exceptions shall auto-expire, returning the product to natural compliance evaluation.</w:t>
      </w:r>
    </w:p>
    <w:p>
      <w:pPr>
        <w:pStyle w:val="Heading3"/>
        <w:spacing w:before="240" w:after="120"/>
      </w:pPr>
      <w:r>
        <w:rPr>
          <w:rFonts w:ascii="Arial" w:cs="Arial" w:eastAsia="Arial" w:hAnsi="Arial"/>
          <w:b/>
          <w:bCs/>
          <w:color w:val="00A9A5"/>
          <w:sz w:val="22"/>
          <w:szCs w:val="22"/>
        </w:rPr>
        <w:t xml:space="preserve">Classification Management and Reporting</w:t>
      </w:r>
    </w:p>
    <w:p>
      <w:pPr>
        <w:spacing w:before="160" w:after="60"/>
      </w:pPr>
      <w:r>
        <w:rPr>
          <w:rFonts w:ascii="Arial" w:cs="Arial" w:eastAsia="Arial" w:hAnsi="Arial"/>
          <w:b/>
          <w:bCs/>
          <w:color w:val="1B3A6B"/>
          <w:sz w:val="20"/>
          <w:szCs w:val="20"/>
        </w:rPr>
        <w:t xml:space="preserve">F4.21 — Classification Taxonomy Authoring</w:t>
      </w:r>
    </w:p>
    <w:p>
      <w:pPr>
        <w:spacing w:before="0" w:after="100"/>
        <w:ind w:left="360"/>
      </w:pPr>
      <w:r>
        <w:rPr>
          <w:rFonts w:ascii="Arial" w:cs="Arial" w:eastAsia="Arial" w:hAnsi="Arial"/>
          <w:color w:val="111827"/>
          <w:sz w:val="20"/>
          <w:szCs w:val="20"/>
        </w:rPr>
        <w:t xml:space="preserve">The governance layer shall define the organization's data classification taxonomy supporting at minimum three levels. The platform shall ship with a recommended default taxonomy (Public, Internal, Confidential, Restricted) that organizations may adopt or replace.</w:t>
      </w:r>
    </w:p>
    <w:p>
      <w:pPr>
        <w:spacing w:before="160" w:after="60"/>
      </w:pPr>
      <w:r>
        <w:rPr>
          <w:rFonts w:ascii="Arial" w:cs="Arial" w:eastAsia="Arial" w:hAnsi="Arial"/>
          <w:b/>
          <w:bCs/>
          <w:color w:val="1B3A6B"/>
          <w:sz w:val="20"/>
          <w:szCs w:val="20"/>
        </w:rPr>
        <w:t xml:space="preserve">F4.22 — Classification-Driven Enforcement</w:t>
      </w:r>
    </w:p>
    <w:p>
      <w:pPr>
        <w:spacing w:before="0" w:after="100"/>
        <w:ind w:left="360"/>
      </w:pPr>
      <w:r>
        <w:rPr>
          <w:rFonts w:ascii="Arial" w:cs="Arial" w:eastAsia="Arial" w:hAnsi="Arial"/>
          <w:color w:val="111827"/>
          <w:sz w:val="20"/>
          <w:szCs w:val="20"/>
        </w:rPr>
        <w:t xml:space="preserve">Classification shall be a first-class input to all policy rule conditions, enabling stricter requirements for higher-sensitivity products without separate policy sets.</w:t>
      </w:r>
    </w:p>
    <w:p>
      <w:pPr>
        <w:spacing w:before="160" w:after="60"/>
      </w:pPr>
      <w:r>
        <w:rPr>
          <w:rFonts w:ascii="Arial" w:cs="Arial" w:eastAsia="Arial" w:hAnsi="Arial"/>
          <w:b/>
          <w:bCs/>
          <w:color w:val="1B3A6B"/>
          <w:sz w:val="20"/>
          <w:szCs w:val="20"/>
        </w:rPr>
        <w:t xml:space="preserve">F4.23 — Classification Change Governance</w:t>
      </w:r>
    </w:p>
    <w:p>
      <w:pPr>
        <w:spacing w:before="0" w:after="100"/>
        <w:ind w:left="360"/>
      </w:pPr>
      <w:r>
        <w:rPr>
          <w:rFonts w:ascii="Arial" w:cs="Arial" w:eastAsia="Arial" w:hAnsi="Arial"/>
          <w:color w:val="111827"/>
          <w:sz w:val="20"/>
          <w:szCs w:val="20"/>
        </w:rPr>
        <w:t xml:space="preserve">Reclassification to higher sensitivity shall be immediately effective. Reclassification to lower sensitivity shall require governance layer acknowledgment if the product has active consumers.</w:t>
      </w:r>
    </w:p>
    <w:p>
      <w:pPr>
        <w:spacing w:before="160" w:after="60"/>
      </w:pPr>
      <w:r>
        <w:rPr>
          <w:rFonts w:ascii="Arial" w:cs="Arial" w:eastAsia="Arial" w:hAnsi="Arial"/>
          <w:b/>
          <w:bCs/>
          <w:color w:val="1B3A6B"/>
          <w:sz w:val="20"/>
          <w:szCs w:val="20"/>
        </w:rPr>
        <w:t xml:space="preserve">F4.24 — Governance Dashboard</w:t>
      </w:r>
    </w:p>
    <w:p>
      <w:pPr>
        <w:spacing w:before="0" w:after="100"/>
        <w:ind w:left="360"/>
      </w:pPr>
      <w:r>
        <w:rPr>
          <w:rFonts w:ascii="Arial" w:cs="Arial" w:eastAsia="Arial" w:hAnsi="Arial"/>
          <w:color w:val="111827"/>
          <w:sz w:val="20"/>
          <w:szCs w:val="20"/>
        </w:rPr>
        <w:t xml:space="preserve">The governance layer shall have access to a real-time compliance dashboard: overall compliance rate, compliance by domain, compliance by classification, active grace periods, open exceptions, and trend data over time.</w:t>
      </w:r>
    </w:p>
    <w:p>
      <w:pPr>
        <w:spacing w:before="160" w:after="60"/>
      </w:pPr>
      <w:r>
        <w:rPr>
          <w:rFonts w:ascii="Arial" w:cs="Arial" w:eastAsia="Arial" w:hAnsi="Arial"/>
          <w:b/>
          <w:bCs/>
          <w:color w:val="1B3A6B"/>
          <w:sz w:val="20"/>
          <w:szCs w:val="20"/>
        </w:rPr>
        <w:t xml:space="preserve">F4.25 — Domain Compliance Reports</w:t>
      </w:r>
    </w:p>
    <w:p>
      <w:pPr>
        <w:spacing w:before="0" w:after="100"/>
        <w:ind w:left="360"/>
      </w:pPr>
      <w:r>
        <w:rPr>
          <w:rFonts w:ascii="Arial" w:cs="Arial" w:eastAsia="Arial" w:hAnsi="Arial"/>
          <w:color w:val="111827"/>
          <w:sz w:val="20"/>
          <w:szCs w:val="20"/>
        </w:rPr>
        <w:t xml:space="preserve">The governance layer shall generate compliance reports per domain, exportable in PDF and CSV. Domain teams may view their own domain's report only.</w:t>
      </w:r>
    </w:p>
    <w:p>
      <w:pPr>
        <w:spacing w:before="160" w:after="60"/>
      </w:pPr>
      <w:r>
        <w:rPr>
          <w:rFonts w:ascii="Arial" w:cs="Arial" w:eastAsia="Arial" w:hAnsi="Arial"/>
          <w:b/>
          <w:bCs/>
          <w:color w:val="1B3A6B"/>
          <w:sz w:val="20"/>
          <w:szCs w:val="20"/>
        </w:rPr>
        <w:t xml:space="preserve">F4.26 — Audit Export</w:t>
      </w:r>
    </w:p>
    <w:p>
      <w:pPr>
        <w:spacing w:before="0" w:after="100"/>
        <w:ind w:left="360"/>
      </w:pPr>
      <w:r>
        <w:rPr>
          <w:rFonts w:ascii="Arial" w:cs="Arial" w:eastAsia="Arial" w:hAnsi="Arial"/>
          <w:color w:val="111827"/>
          <w:sz w:val="20"/>
          <w:szCs w:val="20"/>
        </w:rPr>
        <w:t xml:space="preserve">All governance events shall be exportable from the audit log in a structured format suitable for external compliance audit consumption.</w:t>
      </w:r>
    </w:p>
    <w:p>
      <w:pPr>
        <w:pStyle w:val="Heading2"/>
        <w:spacing w:before="320" w:after="160"/>
      </w:pPr>
      <w:r>
        <w:rPr>
          <w:rFonts w:ascii="Arial" w:cs="Arial" w:eastAsia="Arial" w:hAnsi="Arial"/>
          <w:b/>
          <w:bCs/>
          <w:color w:val="2E75B6"/>
          <w:sz w:val="26"/>
          <w:szCs w:val="26"/>
        </w:rPr>
        <w:t xml:space="preserve">Non-Functional Requirements</w:t>
      </w:r>
    </w:p>
    <w:p>
      <w:pPr>
        <w:spacing w:before="160" w:after="60"/>
      </w:pPr>
      <w:r>
        <w:rPr>
          <w:rFonts w:ascii="Arial" w:cs="Arial" w:eastAsia="Arial" w:hAnsi="Arial"/>
          <w:b/>
          <w:bCs/>
          <w:color w:val="2E75B6"/>
          <w:sz w:val="20"/>
          <w:szCs w:val="20"/>
        </w:rPr>
        <w:t xml:space="preserve">NF4.1 — Policy Evaluation Latency</w:t>
      </w:r>
    </w:p>
    <w:p>
      <w:pPr>
        <w:spacing w:before="0" w:after="100"/>
        <w:ind w:left="360"/>
      </w:pPr>
      <w:r>
        <w:rPr>
          <w:rFonts w:ascii="Arial" w:cs="Arial" w:eastAsia="Arial" w:hAnsi="Arial"/>
          <w:color w:val="111827"/>
          <w:sz w:val="20"/>
          <w:szCs w:val="20"/>
        </w:rPr>
        <w:t xml:space="preserve">Effective policy evaluation at publication time shall complete in under 3 seconds regardless of policy complexity.</w:t>
      </w:r>
    </w:p>
    <w:p>
      <w:pPr>
        <w:spacing w:before="160" w:after="60"/>
      </w:pPr>
      <w:r>
        <w:rPr>
          <w:rFonts w:ascii="Arial" w:cs="Arial" w:eastAsia="Arial" w:hAnsi="Arial"/>
          <w:b/>
          <w:bCs/>
          <w:color w:val="2E75B6"/>
          <w:sz w:val="20"/>
          <w:szCs w:val="20"/>
        </w:rPr>
        <w:t xml:space="preserve">NF4.2 — Continuous Monitoring Frequency</w:t>
      </w:r>
    </w:p>
    <w:p>
      <w:pPr>
        <w:spacing w:before="0" w:after="100"/>
        <w:ind w:left="360"/>
      </w:pPr>
      <w:r>
        <w:rPr>
          <w:rFonts w:ascii="Arial" w:cs="Arial" w:eastAsia="Arial" w:hAnsi="Arial"/>
          <w:color w:val="111827"/>
          <w:sz w:val="20"/>
          <w:szCs w:val="20"/>
        </w:rPr>
        <w:t xml:space="preserve">Continuous compliance monitoring shall evaluate all published products at minimum once every 24 hours, with near-real-time re-evaluation triggered by policy changes, schema drift, and SLO violation events.</w:t>
      </w:r>
    </w:p>
    <w:p>
      <w:pPr>
        <w:spacing w:before="160" w:after="60"/>
      </w:pPr>
      <w:r>
        <w:rPr>
          <w:rFonts w:ascii="Arial" w:cs="Arial" w:eastAsia="Arial" w:hAnsi="Arial"/>
          <w:b/>
          <w:bCs/>
          <w:color w:val="2E75B6"/>
          <w:sz w:val="20"/>
          <w:szCs w:val="20"/>
        </w:rPr>
        <w:t xml:space="preserve">NF4.3 — Policy Authoring Accessibility</w:t>
      </w:r>
    </w:p>
    <w:p>
      <w:pPr>
        <w:spacing w:before="0" w:after="100"/>
        <w:ind w:left="360"/>
      </w:pPr>
      <w:r>
        <w:rPr>
          <w:rFonts w:ascii="Arial" w:cs="Arial" w:eastAsia="Arial" w:hAnsi="Arial"/>
          <w:color w:val="111827"/>
          <w:sz w:val="20"/>
          <w:szCs w:val="20"/>
        </w:rPr>
        <w:t xml:space="preserve">A non-technical governance team member shall be able to author and publish a governance policy within 30 minutes of first use, without training beyond in-product contextual help.</w:t>
      </w:r>
    </w:p>
    <w:p>
      <w:pPr>
        <w:spacing w:before="160" w:after="60"/>
      </w:pPr>
      <w:r>
        <w:rPr>
          <w:rFonts w:ascii="Arial" w:cs="Arial" w:eastAsia="Arial" w:hAnsi="Arial"/>
          <w:b/>
          <w:bCs/>
          <w:color w:val="2E75B6"/>
          <w:sz w:val="20"/>
          <w:szCs w:val="20"/>
        </w:rPr>
        <w:t xml:space="preserve">NF4.4 — Policy Consistency</w:t>
      </w:r>
    </w:p>
    <w:p>
      <w:pPr>
        <w:spacing w:before="0" w:after="100"/>
        <w:ind w:left="360"/>
      </w:pPr>
      <w:r>
        <w:rPr>
          <w:rFonts w:ascii="Arial" w:cs="Arial" w:eastAsia="Arial" w:hAnsi="Arial"/>
          <w:color w:val="111827"/>
          <w:sz w:val="20"/>
          <w:szCs w:val="20"/>
        </w:rPr>
        <w:t xml:space="preserve">Effective policy computed for a data product shall be identical regardless of which platform node evaluates it. Policy evaluation shall be deterministic and consistent.</w:t>
      </w:r>
    </w:p>
    <w:p>
      <w:pPr>
        <w:spacing w:before="160" w:after="60"/>
      </w:pPr>
      <w:r>
        <w:rPr>
          <w:rFonts w:ascii="Arial" w:cs="Arial" w:eastAsia="Arial" w:hAnsi="Arial"/>
          <w:b/>
          <w:bCs/>
          <w:color w:val="2E75B6"/>
          <w:sz w:val="20"/>
          <w:szCs w:val="20"/>
        </w:rPr>
        <w:t xml:space="preserve">NF4.5 — Regulatory Template Currency</w:t>
      </w:r>
    </w:p>
    <w:p>
      <w:pPr>
        <w:spacing w:before="0" w:after="100"/>
        <w:ind w:left="360"/>
      </w:pPr>
      <w:r>
        <w:rPr>
          <w:rFonts w:ascii="Arial" w:cs="Arial" w:eastAsia="Arial" w:hAnsi="Arial"/>
          <w:color w:val="111827"/>
          <w:sz w:val="20"/>
          <w:szCs w:val="20"/>
        </w:rPr>
        <w:t xml:space="preserve">Regulatory policy templates shall be reviewed and updated within 90 days of material changes to the regulations they represent. Template updates shall be non-breaking to existing governance configurations.</w:t>
      </w:r>
    </w:p>
    <w:p>
      <w:pPr>
        <w:pStyle w:val="Heading2"/>
        <w:spacing w:before="320" w:after="160"/>
      </w:pPr>
      <w:r>
        <w:rPr>
          <w:rFonts w:ascii="Arial" w:cs="Arial" w:eastAsia="Arial" w:hAnsi="Arial"/>
          <w:b/>
          <w:bCs/>
          <w:color w:val="2E75B6"/>
          <w:sz w:val="26"/>
          <w:szCs w:val="26"/>
        </w:rPr>
        <w:t xml:space="preserve">Out of Scope</w:t>
      </w:r>
    </w:p>
    <w:p>
      <w:pPr>
        <w:spacing w:before="80" w:after="80"/>
        <w:ind w:left="360"/>
      </w:pPr>
      <w:r>
        <w:rPr>
          <w:rFonts w:ascii="Courier New" w:cs="Courier New" w:eastAsia="Courier New" w:hAnsi="Courier New"/>
          <w:b/>
          <w:bCs/>
          <w:color w:val="EF4444"/>
          <w:sz w:val="18"/>
          <w:szCs w:val="18"/>
        </w:rPr>
        <w:t xml:space="preserve">OS4.1  </w:t>
      </w:r>
      <w:r>
        <w:rPr>
          <w:rFonts w:ascii="Arial" w:cs="Arial" w:eastAsia="Arial" w:hAnsi="Arial"/>
          <w:color w:val="111827"/>
          <w:sz w:val="20"/>
          <w:szCs w:val="20"/>
        </w:rPr>
        <w:t xml:space="preserve">Legal interpretation of regulatory requirements. Policy templates are a technical approximation, not legal advice.</w:t>
      </w:r>
    </w:p>
    <w:p>
      <w:pPr>
        <w:spacing w:before="80" w:after="80"/>
        <w:ind w:left="360"/>
      </w:pPr>
      <w:r>
        <w:rPr>
          <w:rFonts w:ascii="Courier New" w:cs="Courier New" w:eastAsia="Courier New" w:hAnsi="Courier New"/>
          <w:b/>
          <w:bCs/>
          <w:color w:val="EF4444"/>
          <w:sz w:val="18"/>
          <w:szCs w:val="18"/>
        </w:rPr>
        <w:t xml:space="preserve">OS4.2  </w:t>
      </w:r>
      <w:r>
        <w:rPr>
          <w:rFonts w:ascii="Arial" w:cs="Arial" w:eastAsia="Arial" w:hAnsi="Arial"/>
          <w:color w:val="111827"/>
          <w:sz w:val="20"/>
          <w:szCs w:val="20"/>
        </w:rPr>
        <w:t xml:space="preserve">Governance enforcement on data outside registered data products. Governance authority is scoped to the mesh.</w:t>
      </w:r>
    </w:p>
    <w:p>
      <w:pPr>
        <w:spacing w:before="80" w:after="80"/>
        <w:ind w:left="360"/>
      </w:pPr>
      <w:r>
        <w:rPr>
          <w:rFonts w:ascii="Courier New" w:cs="Courier New" w:eastAsia="Courier New" w:hAnsi="Courier New"/>
          <w:b/>
          <w:bCs/>
          <w:color w:val="EF4444"/>
          <w:sz w:val="18"/>
          <w:szCs w:val="18"/>
        </w:rPr>
        <w:t xml:space="preserve">OS4.3  </w:t>
      </w:r>
      <w:r>
        <w:rPr>
          <w:rFonts w:ascii="Arial" w:cs="Arial" w:eastAsia="Arial" w:hAnsi="Arial"/>
          <w:color w:val="111827"/>
          <w:sz w:val="20"/>
          <w:szCs w:val="20"/>
        </w:rPr>
        <w:t xml:space="preserve">[POST-MVP] Policy-as-code authoring. Governance teams interact exclusively through the declarative UI at MVP.</w:t>
      </w:r>
    </w:p>
    <w:p>
      <w:pPr>
        <w:spacing w:before="80" w:after="80"/>
        <w:ind w:left="360"/>
      </w:pPr>
      <w:r>
        <w:rPr>
          <w:rFonts w:ascii="Courier New" w:cs="Courier New" w:eastAsia="Courier New" w:hAnsi="Courier New"/>
          <w:b/>
          <w:bCs/>
          <w:color w:val="EF4444"/>
          <w:sz w:val="18"/>
          <w:szCs w:val="18"/>
        </w:rPr>
        <w:t xml:space="preserve">OS4.4  </w:t>
      </w:r>
      <w:r>
        <w:rPr>
          <w:rFonts w:ascii="Arial" w:cs="Arial" w:eastAsia="Arial" w:hAnsi="Arial"/>
          <w:color w:val="111827"/>
          <w:sz w:val="20"/>
          <w:szCs w:val="20"/>
        </w:rPr>
        <w:t xml:space="preserve">[POST-MVP] Native GRC platform integrations. Audit export provides the data bridge at MVP.</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Domain 4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as computation — automatic enforcement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Right thing is easy thing — compliant path is lowest friction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layer architecturally separated from domain operations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Declarative policy UI — no coding required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Policy stored as versioned artifact despite UI authoring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Eight policy domains independently configurable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Point-and-click rule builder with plain-language confirmation sentence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 impact preview before publication — live data</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Mandatory grace periods for breaking policy changes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F4.10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Regulatory policy template library — GDPR, CCPA, HIPAA, SOC 2</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F4.11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Global policy floor — non-negotiable for all domains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F4.12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Domain policy extensions — additive only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F4.13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Effective policy computation — floor plus extensions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F4.14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Extension inheritance transparency — rule origin visible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F4.15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Cross-domain policy visibility scoped to governance layer only</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F4.16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Publication-time enforcement — all violations surfaced simultaneously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F4.17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Continuous compliance monitoring — drift detection post-publication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F4.18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Four compliance states: Compliant, Drift Detected, Grace Period, Non-Compliant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F4.19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Five enforcement action types: Warn, Block, Restrict, Notify, Auto-Remediate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F4.20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Time-limited governance exceptions with auto-expiry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F4.21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Classification taxonomy authoring with default taxonomy provided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F4.22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Classification as first-class policy condition across all policy domains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F4.23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Classification change governance — downgrade requires acknowledgment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F4.24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Real-time governance compliance dashboard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F4.25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Domain compliance reports — PDF and CSV export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F4.26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Structured audit export for external compliance consumption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NF4.1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Policy evaluation under 3 seconds at publication time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NF4.2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Continuous monitoring every 24 hours, event-triggered near real-time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NF4.3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Non-technical team member can author policy within 30 minutes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NF4.4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Deterministic, consistent policy evaluation across all platform nodes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NF4.5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Regulatory templates reviewed within 90 days of material changes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OS4.1</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Legal interpretation of regulatory requirements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OS4.2</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enforcement on data outside the mesh</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OS4.3</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Policy-as-code authoring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OS4.4</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Native GRC platform integrations</w:t>
            </w:r>
          </w:p>
        </w:tc>
      </w:tr>
    </w:tbl>
    <w:p>
      <w:pPr>
        <w:spacing w:before="0" w:after="60"/>
      </w:pPr>
      <w:r>
        <w:rPr>
          <w:rFonts w:ascii="Arial" w:cs="Arial" w:eastAsia="Arial" w:hAnsi="Arial"/>
          <w:b/>
          <w:bCs/>
          <w:color w:val="00A9A5"/>
          <w:sz w:val="20"/>
          <w:szCs w:val="20"/>
        </w:rPr>
        <w:t xml:space="preserve">Domain 5</w:t>
      </w:r>
    </w:p>
    <w:p>
      <w:pPr>
        <w:pStyle w:val="Heading1"/>
        <w:pageBreakBefore/>
        <w:spacing w:before="0" w:after="180"/>
      </w:pPr>
      <w:r>
        <w:rPr>
          <w:rFonts w:ascii="Arial" w:cs="Arial" w:eastAsia="Arial" w:hAnsi="Arial"/>
          <w:b/>
          <w:bCs/>
          <w:color w:val="1B3A6B"/>
          <w:sz w:val="36"/>
          <w:szCs w:val="36"/>
        </w:rPr>
        <w:t xml:space="preserve">Lineage &amp; Observability</w:t>
      </w:r>
    </w:p>
    <w:p>
      <w:pPr>
        <w:spacing w:before="0" w:after="240"/>
      </w:pPr>
      <w:r>
        <w:rPr>
          <w:rFonts w:ascii="Arial" w:cs="Arial" w:eastAsia="Arial" w:hAnsi="Arial"/>
          <w:i/>
          <w:iCs/>
          <w:color w:val="6B7280"/>
          <w:sz w:val="20"/>
          <w:szCs w:val="20"/>
        </w:rPr>
        <w:t xml:space="preserve">Lineage is the trust infrastructure of the mesh. Observability is the reliability contract made visible. Together they transform a dataset into something a consumer — human or agent — can confidently depend on.</w:t>
      </w:r>
    </w:p>
    <w:p>
      <w:pPr>
        <w:pBdr>
          <w:bottom w:val="single" w:color="2E75B6" w:sz="6" w:space="1"/>
        </w:pBdr>
        <w:spacing w:before="160" w:after="160"/>
      </w:pPr>
      <w:r>
        <w:t xml:space="preserve"/>
      </w:r>
    </w:p>
    <w:p>
      <w:pPr>
        <w:pStyle w:val="Heading2"/>
        <w:spacing w:before="320" w:after="160"/>
      </w:pPr>
      <w:r>
        <w:rPr>
          <w:rFonts w:ascii="Arial" w:cs="Arial" w:eastAsia="Arial" w:hAnsi="Arial"/>
          <w:b/>
          <w:bCs/>
          <w:color w:val="2E75B6"/>
          <w:sz w:val="26"/>
          <w:szCs w:val="26"/>
        </w:rPr>
        <w:t xml:space="preserve">Functional Requirements</w:t>
      </w:r>
    </w:p>
    <w:p>
      <w:pPr>
        <w:pStyle w:val="Heading3"/>
        <w:spacing w:before="240" w:after="120"/>
      </w:pPr>
      <w:r>
        <w:rPr>
          <w:rFonts w:ascii="Arial" w:cs="Arial" w:eastAsia="Arial" w:hAnsi="Arial"/>
          <w:b/>
          <w:bCs/>
          <w:color w:val="00A9A5"/>
          <w:sz w:val="22"/>
          <w:szCs w:val="22"/>
        </w:rPr>
        <w:t xml:space="preserve">Lineage Philosophy and Model</w:t>
      </w:r>
    </w:p>
    <w:p>
      <w:pPr>
        <w:spacing w:before="160" w:after="60"/>
      </w:pPr>
      <w:r>
        <w:rPr>
          <w:rFonts w:ascii="Arial" w:cs="Arial" w:eastAsia="Arial" w:hAnsi="Arial"/>
          <w:b/>
          <w:bCs/>
          <w:color w:val="1B3A6B"/>
          <w:sz w:val="20"/>
          <w:szCs w:val="20"/>
        </w:rPr>
        <w:t xml:space="preserve">F5.1 — Lineage as a Graph</w:t>
      </w:r>
    </w:p>
    <w:p>
      <w:pPr>
        <w:spacing w:before="0" w:after="100"/>
        <w:ind w:left="360"/>
      </w:pPr>
      <w:r>
        <w:rPr>
          <w:rFonts w:ascii="Arial" w:cs="Arial" w:eastAsia="Arial" w:hAnsi="Arial"/>
          <w:color w:val="111827"/>
          <w:sz w:val="20"/>
          <w:szCs w:val="20"/>
        </w:rPr>
        <w:t xml:space="preserve">The platform shall maintain a continuously updated, organization-wide lineage graph representing the complete provenance network of all data products — from origin source nodes through all transformation steps to consumer-facing output ports. The lineage graph is a first-class queryable asset, not a background audit record.</w:t>
      </w:r>
    </w:p>
    <w:p>
      <w:pPr>
        <w:spacing w:before="160" w:after="60"/>
      </w:pPr>
      <w:r>
        <w:rPr>
          <w:rFonts w:ascii="Arial" w:cs="Arial" w:eastAsia="Arial" w:hAnsi="Arial"/>
          <w:b/>
          <w:bCs/>
          <w:color w:val="1B3A6B"/>
          <w:sz w:val="20"/>
          <w:szCs w:val="20"/>
        </w:rPr>
        <w:t xml:space="preserve">F5.2 — Lineage Node Types</w:t>
      </w:r>
    </w:p>
    <w:p>
      <w:pPr>
        <w:spacing w:before="0" w:after="100"/>
        <w:ind w:left="360"/>
      </w:pPr>
      <w:r>
        <w:rPr>
          <w:rFonts w:ascii="Arial" w:cs="Arial" w:eastAsia="Arial" w:hAnsi="Arial"/>
          <w:color w:val="111827"/>
          <w:sz w:val="20"/>
          <w:szCs w:val="20"/>
        </w:rPr>
        <w:t xml:space="preserve">Six node types: Source Nodes (external systems registered via connectors), Data Product Nodes (every published product), Port Nodes (individual input and output ports), Transformation Nodes (logical representations of transformation steps), Agent Nodes (AI agent executions — distinct from transformation nodes due to non-deterministic characteristics), and Consumer Nodes (authorized human and agent consumers).</w:t>
      </w:r>
    </w:p>
    <w:p>
      <w:pPr>
        <w:spacing w:before="160" w:after="60"/>
      </w:pPr>
      <w:r>
        <w:rPr>
          <w:rFonts w:ascii="Arial" w:cs="Arial" w:eastAsia="Arial" w:hAnsi="Arial"/>
          <w:b/>
          <w:bCs/>
          <w:color w:val="1B3A6B"/>
          <w:sz w:val="20"/>
          <w:szCs w:val="20"/>
        </w:rPr>
        <w:t xml:space="preserve">F5.3 — Lineage Edge Types</w:t>
      </w:r>
    </w:p>
    <w:p>
      <w:pPr>
        <w:spacing w:before="0" w:after="100"/>
        <w:ind w:left="360"/>
      </w:pPr>
      <w:r>
        <w:rPr>
          <w:rFonts w:ascii="Arial" w:cs="Arial" w:eastAsia="Arial" w:hAnsi="Arial"/>
          <w:color w:val="111827"/>
          <w:sz w:val="20"/>
          <w:szCs w:val="20"/>
        </w:rPr>
        <w:t xml:space="preserve">Five edge types: Derives From, Transforms, Consumes, Depends On, and Supersedes.</w:t>
      </w:r>
    </w:p>
    <w:p>
      <w:pPr>
        <w:spacing w:before="160" w:after="60"/>
      </w:pPr>
      <w:r>
        <w:rPr>
          <w:rFonts w:ascii="Arial" w:cs="Arial" w:eastAsia="Arial" w:hAnsi="Arial"/>
          <w:b/>
          <w:bCs/>
          <w:color w:val="1B3A6B"/>
          <w:sz w:val="20"/>
          <w:szCs w:val="20"/>
        </w:rPr>
        <w:t xml:space="preserve">F5.4 — Dual Lineage Assembly</w:t>
      </w:r>
    </w:p>
    <w:p>
      <w:pPr>
        <w:spacing w:before="0" w:after="100"/>
        <w:ind w:left="360"/>
      </w:pPr>
      <w:r>
        <w:rPr>
          <w:rFonts w:ascii="Arial" w:cs="Arial" w:eastAsia="Arial" w:hAnsi="Arial"/>
          <w:color w:val="111827"/>
          <w:sz w:val="20"/>
          <w:szCs w:val="20"/>
        </w:rPr>
        <w:t xml:space="preserve">The lineage graph shall be assembled from two sources: Declared Lineage (domain teams' design-time declarations in product definitions) and Emitted Lineage (runtime events emitted by pipelines and agents). The platform shall reconcile declared and emitted lineage, surfacing discrepancies as lineage drift events.</w:t>
      </w:r>
    </w:p>
    <w:p>
      <w:pPr>
        <w:spacing w:before="160" w:after="60"/>
      </w:pPr>
      <w:r>
        <w:rPr>
          <w:rFonts w:ascii="Arial" w:cs="Arial" w:eastAsia="Arial" w:hAnsi="Arial"/>
          <w:b/>
          <w:bCs/>
          <w:color w:val="1B3A6B"/>
          <w:sz w:val="20"/>
          <w:szCs w:val="20"/>
        </w:rPr>
        <w:t xml:space="preserve">F5.5 — Lineage Completeness Scoring</w:t>
      </w:r>
    </w:p>
    <w:p>
      <w:pPr>
        <w:spacing w:before="0" w:after="100"/>
        <w:ind w:left="360"/>
      </w:pPr>
      <w:r>
        <w:rPr>
          <w:rFonts w:ascii="Arial" w:cs="Arial" w:eastAsia="Arial" w:hAnsi="Arial"/>
          <w:color w:val="111827"/>
          <w:sz w:val="20"/>
          <w:szCs w:val="20"/>
        </w:rPr>
        <w:t xml:space="preserve">The platform shall compute a lineage completeness score for every data product. Governance shall configure minimum completeness thresholds by classification. Products below threshold shall surface as compliance drift.</w:t>
      </w:r>
    </w:p>
    <w:p>
      <w:pPr>
        <w:spacing w:before="160" w:after="60"/>
      </w:pPr>
      <w:r>
        <w:rPr>
          <w:rFonts w:ascii="Arial" w:cs="Arial" w:eastAsia="Arial" w:hAnsi="Arial"/>
          <w:b/>
          <w:bCs/>
          <w:color w:val="1B3A6B"/>
          <w:sz w:val="20"/>
          <w:szCs w:val="20"/>
        </w:rPr>
        <w:t xml:space="preserve">F5.6 — Lineage Depth</w:t>
      </w:r>
    </w:p>
    <w:p>
      <w:pPr>
        <w:spacing w:before="0" w:after="100"/>
        <w:ind w:left="360"/>
      </w:pPr>
      <w:r>
        <w:rPr>
          <w:rFonts w:ascii="Arial" w:cs="Arial" w:eastAsia="Arial" w:hAnsi="Arial"/>
          <w:color w:val="111827"/>
          <w:sz w:val="20"/>
          <w:szCs w:val="20"/>
        </w:rPr>
        <w:t xml:space="preserve">The platform shall support lineage traversal of arbitrary depth with no imposed technical limit.</w:t>
      </w:r>
    </w:p>
    <w:p>
      <w:pPr>
        <w:spacing w:before="160" w:after="60"/>
      </w:pPr>
      <w:r>
        <w:rPr>
          <w:rFonts w:ascii="Arial" w:cs="Arial" w:eastAsia="Arial" w:hAnsi="Arial"/>
          <w:b/>
          <w:bCs/>
          <w:color w:val="1B3A6B"/>
          <w:sz w:val="20"/>
          <w:szCs w:val="20"/>
        </w:rPr>
        <w:t xml:space="preserve">F5.7 — Cross-Domain Lineage</w:t>
      </w:r>
    </w:p>
    <w:p>
      <w:pPr>
        <w:spacing w:before="0" w:after="100"/>
        <w:ind w:left="360"/>
      </w:pPr>
      <w:r>
        <w:rPr>
          <w:rFonts w:ascii="Arial" w:cs="Arial" w:eastAsia="Arial" w:hAnsi="Arial"/>
          <w:color w:val="111827"/>
          <w:sz w:val="20"/>
          <w:szCs w:val="20"/>
        </w:rPr>
        <w:t xml:space="preserve">Lineage shall traverse domain boundaries seamlessly. Cross-domain lineage visibility shall be governed by access grants — a domain team can see that a downstream product depends on theirs, but not the internal lineage of that downstream domain.</w:t>
      </w:r>
    </w:p>
    <w:p>
      <w:pPr>
        <w:pStyle w:val="Heading3"/>
        <w:spacing w:before="240" w:after="120"/>
      </w:pPr>
      <w:r>
        <w:rPr>
          <w:rFonts w:ascii="Arial" w:cs="Arial" w:eastAsia="Arial" w:hAnsi="Arial"/>
          <w:b/>
          <w:bCs/>
          <w:color w:val="00A9A5"/>
          <w:sz w:val="22"/>
          <w:szCs w:val="22"/>
        </w:rPr>
        <w:t xml:space="preserve">Lineage Emission</w:t>
      </w:r>
    </w:p>
    <w:p>
      <w:pPr>
        <w:spacing w:before="160" w:after="60"/>
      </w:pPr>
      <w:r>
        <w:rPr>
          <w:rFonts w:ascii="Arial" w:cs="Arial" w:eastAsia="Arial" w:hAnsi="Arial"/>
          <w:b/>
          <w:bCs/>
          <w:color w:val="1B3A6B"/>
          <w:sz w:val="20"/>
          <w:szCs w:val="20"/>
        </w:rPr>
        <w:t xml:space="preserve">F5.8 — Emission Event Schema</w:t>
      </w:r>
    </w:p>
    <w:p>
      <w:pPr>
        <w:spacing w:before="0" w:after="100"/>
        <w:ind w:left="360"/>
      </w:pPr>
      <w:r>
        <w:rPr>
          <w:rFonts w:ascii="Arial" w:cs="Arial" w:eastAsia="Arial" w:hAnsi="Arial"/>
          <w:color w:val="111827"/>
          <w:sz w:val="20"/>
          <w:szCs w:val="20"/>
        </w:rPr>
        <w:t xml:space="preserve">The platform shall define and publish an open lineage event schema aligned with the OpenLineage specification as a baseline, extended with platform-specific fields for agent provenance, governance policy references, and semantic change markers.</w:t>
      </w:r>
    </w:p>
    <w:p>
      <w:pPr>
        <w:spacing w:before="160" w:after="60"/>
      </w:pPr>
      <w:r>
        <w:rPr>
          <w:rFonts w:ascii="Arial" w:cs="Arial" w:eastAsia="Arial" w:hAnsi="Arial"/>
          <w:b/>
          <w:bCs/>
          <w:color w:val="1B3A6B"/>
          <w:sz w:val="20"/>
          <w:szCs w:val="20"/>
        </w:rPr>
        <w:t xml:space="preserve">F5.9 — Emission Authentication</w:t>
      </w:r>
    </w:p>
    <w:p>
      <w:pPr>
        <w:spacing w:before="0" w:after="100"/>
        <w:ind w:left="360"/>
      </w:pPr>
      <w:r>
        <w:rPr>
          <w:rFonts w:ascii="Arial" w:cs="Arial" w:eastAsia="Arial" w:hAnsi="Arial"/>
          <w:color w:val="111827"/>
          <w:sz w:val="20"/>
          <w:szCs w:val="20"/>
        </w:rPr>
        <w:t xml:space="preserve">All lineage emission API calls shall be authenticated using the emitting principal's identity. The principal identity shall be an immutable attribute of the lineage record.</w:t>
      </w:r>
    </w:p>
    <w:p>
      <w:pPr>
        <w:spacing w:before="160" w:after="60"/>
      </w:pPr>
      <w:r>
        <w:rPr>
          <w:rFonts w:ascii="Arial" w:cs="Arial" w:eastAsia="Arial" w:hAnsi="Arial"/>
          <w:b/>
          <w:bCs/>
          <w:color w:val="1B3A6B"/>
          <w:sz w:val="20"/>
          <w:szCs w:val="20"/>
        </w:rPr>
        <w:t xml:space="preserve">F5.10 — Emission Idempotency</w:t>
      </w:r>
    </w:p>
    <w:p>
      <w:pPr>
        <w:spacing w:before="0" w:after="100"/>
        <w:ind w:left="360"/>
      </w:pPr>
      <w:r>
        <w:rPr>
          <w:rFonts w:ascii="Arial" w:cs="Arial" w:eastAsia="Arial" w:hAnsi="Arial"/>
          <w:color w:val="111827"/>
          <w:sz w:val="20"/>
          <w:szCs w:val="20"/>
        </w:rPr>
        <w:t xml:space="preserve">The lineage emission API shall be idempotent. Duplicate emission of the same event — identified by client-provided event ID — shall be deduplicated without error.</w:t>
      </w:r>
    </w:p>
    <w:p>
      <w:pPr>
        <w:spacing w:before="160" w:after="60"/>
      </w:pPr>
      <w:r>
        <w:rPr>
          <w:rFonts w:ascii="Arial" w:cs="Arial" w:eastAsia="Arial" w:hAnsi="Arial"/>
          <w:b/>
          <w:bCs/>
          <w:color w:val="1B3A6B"/>
          <w:sz w:val="20"/>
          <w:szCs w:val="20"/>
        </w:rPr>
        <w:t xml:space="preserve">F5.11 — Batch and Streaming Emission</w:t>
      </w:r>
    </w:p>
    <w:p>
      <w:pPr>
        <w:spacing w:before="0" w:after="100"/>
        <w:ind w:left="360"/>
      </w:pPr>
      <w:r>
        <w:rPr>
          <w:rFonts w:ascii="Arial" w:cs="Arial" w:eastAsia="Arial" w:hAnsi="Arial"/>
          <w:color w:val="111827"/>
          <w:sz w:val="20"/>
          <w:szCs w:val="20"/>
        </w:rPr>
        <w:t xml:space="preserve">Both individual event emission (streaming pipelines) and batch emission (up to 1,000 events per call) shall be supported.</w:t>
      </w:r>
    </w:p>
    <w:p>
      <w:pPr>
        <w:spacing w:before="160" w:after="60"/>
      </w:pPr>
      <w:r>
        <w:rPr>
          <w:rFonts w:ascii="Arial" w:cs="Arial" w:eastAsia="Arial" w:hAnsi="Arial"/>
          <w:b/>
          <w:bCs/>
          <w:color w:val="1B3A6B"/>
          <w:sz w:val="20"/>
          <w:szCs w:val="20"/>
        </w:rPr>
        <w:t xml:space="preserve">F5.12 — Agent Lineage Emission</w:t>
      </w:r>
    </w:p>
    <w:p>
      <w:pPr>
        <w:spacing w:before="0" w:after="100"/>
        <w:ind w:left="360"/>
      </w:pPr>
      <w:r>
        <w:rPr>
          <w:rFonts w:ascii="Arial" w:cs="Arial" w:eastAsia="Arial" w:hAnsi="Arial"/>
          <w:color w:val="111827"/>
          <w:sz w:val="20"/>
          <w:szCs w:val="20"/>
        </w:rPr>
        <w:t xml:space="preserve">AI agent executions shall emit lineage events including: agent identity and version, model identifier and version, reasoning context reference, input and output ports, governance policy version in effect, and confidence indicators where available. Agent lineage events shall be visually distinguished from deterministic transformation nodes.</w:t>
      </w:r>
    </w:p>
    <w:p>
      <w:pPr>
        <w:spacing w:before="160" w:after="60"/>
      </w:pPr>
      <w:r>
        <w:rPr>
          <w:rFonts w:ascii="Arial" w:cs="Arial" w:eastAsia="Arial" w:hAnsi="Arial"/>
          <w:b/>
          <w:bCs/>
          <w:color w:val="1B3A6B"/>
          <w:sz w:val="20"/>
          <w:szCs w:val="20"/>
        </w:rPr>
        <w:t xml:space="preserve">F5.13 — Lineage Drift Detection</w:t>
      </w:r>
    </w:p>
    <w:p>
      <w:pPr>
        <w:spacing w:before="0" w:after="100"/>
        <w:ind w:left="360"/>
      </w:pPr>
      <w:r>
        <w:rPr>
          <w:rFonts w:ascii="Arial" w:cs="Arial" w:eastAsia="Arial" w:hAnsi="Arial"/>
          <w:color w:val="111827"/>
          <w:sz w:val="20"/>
          <w:szCs w:val="20"/>
        </w:rPr>
        <w:t xml:space="preserve">The platform shall compare declared versus emitted lineage and surface discrepancies — unconsumed declared inputs, undeclared consumed inputs, transformation steps not matching declarations — as lineage drift events.</w:t>
      </w:r>
    </w:p>
    <w:p>
      <w:pPr>
        <w:pStyle w:val="Heading3"/>
        <w:spacing w:before="240" w:after="120"/>
      </w:pPr>
      <w:r>
        <w:rPr>
          <w:rFonts w:ascii="Arial" w:cs="Arial" w:eastAsia="Arial" w:hAnsi="Arial"/>
          <w:b/>
          <w:bCs/>
          <w:color w:val="00A9A5"/>
          <w:sz w:val="22"/>
          <w:szCs w:val="22"/>
        </w:rPr>
        <w:t xml:space="preserve">Lineage Querying and Visualization</w:t>
      </w:r>
    </w:p>
    <w:p>
      <w:pPr>
        <w:spacing w:before="160" w:after="60"/>
      </w:pPr>
      <w:r>
        <w:rPr>
          <w:rFonts w:ascii="Arial" w:cs="Arial" w:eastAsia="Arial" w:hAnsi="Arial"/>
          <w:b/>
          <w:bCs/>
          <w:color w:val="1B3A6B"/>
          <w:sz w:val="20"/>
          <w:szCs w:val="20"/>
        </w:rPr>
        <w:t xml:space="preserve">F5.14 — Lineage Graph API</w:t>
      </w:r>
    </w:p>
    <w:p>
      <w:pPr>
        <w:spacing w:before="0" w:after="100"/>
        <w:ind w:left="360"/>
      </w:pPr>
      <w:r>
        <w:rPr>
          <w:rFonts w:ascii="Arial" w:cs="Arial" w:eastAsia="Arial" w:hAnsi="Arial"/>
          <w:color w:val="111827"/>
          <w:sz w:val="20"/>
          <w:szCs w:val="20"/>
        </w:rPr>
        <w:t xml:space="preserve">The platform shall expose a lineage graph query API supporting: upstream traversal, downstream traversal, impact analysis, path query between two nodes, and consumer query.</w:t>
      </w:r>
    </w:p>
    <w:p>
      <w:pPr>
        <w:spacing w:before="160" w:after="60"/>
      </w:pPr>
      <w:r>
        <w:rPr>
          <w:rFonts w:ascii="Arial" w:cs="Arial" w:eastAsia="Arial" w:hAnsi="Arial"/>
          <w:b/>
          <w:bCs/>
          <w:color w:val="1B3A6B"/>
          <w:sz w:val="20"/>
          <w:szCs w:val="20"/>
        </w:rPr>
        <w:t xml:space="preserve">F5.15 — Lineage Visualization</w:t>
      </w:r>
    </w:p>
    <w:p>
      <w:pPr>
        <w:spacing w:before="0" w:after="100"/>
        <w:ind w:left="360"/>
      </w:pPr>
      <w:r>
        <w:rPr>
          <w:rFonts w:ascii="Arial" w:cs="Arial" w:eastAsia="Arial" w:hAnsi="Arial"/>
          <w:color w:val="111827"/>
          <w:sz w:val="20"/>
          <w:szCs w:val="20"/>
        </w:rPr>
        <w:t xml:space="preserve">An interactive, zoomable, navigable lineage visualization shall be provided — distinguishing node types visually, indicating lineage completeness and drift, surfacing compliance state, and supporting depth control, focus mode, and export.</w:t>
      </w:r>
    </w:p>
    <w:p>
      <w:pPr>
        <w:spacing w:before="160" w:after="60"/>
      </w:pPr>
      <w:r>
        <w:rPr>
          <w:rFonts w:ascii="Arial" w:cs="Arial" w:eastAsia="Arial" w:hAnsi="Arial"/>
          <w:b/>
          <w:bCs/>
          <w:color w:val="1B3A6B"/>
          <w:sz w:val="20"/>
          <w:szCs w:val="20"/>
        </w:rPr>
        <w:t xml:space="preserve">F5.16 — Impact Analysis Workflow</w:t>
      </w:r>
    </w:p>
    <w:p>
      <w:pPr>
        <w:spacing w:before="0" w:after="100"/>
        <w:ind w:left="360"/>
      </w:pPr>
      <w:r>
        <w:rPr>
          <w:rFonts w:ascii="Arial" w:cs="Arial" w:eastAsia="Arial" w:hAnsi="Arial"/>
          <w:color w:val="111827"/>
          <w:sz w:val="20"/>
          <w:szCs w:val="20"/>
        </w:rPr>
        <w:t xml:space="preserve">When a domain team initiates a MAJOR version change or deprecation, the platform shall automatically execute an impact analysis and present results before the change is committed. Acknowledgment of impact is a required step.</w:t>
      </w:r>
    </w:p>
    <w:p>
      <w:pPr>
        <w:spacing w:before="160" w:after="60"/>
      </w:pPr>
      <w:r>
        <w:rPr>
          <w:rFonts w:ascii="Arial" w:cs="Arial" w:eastAsia="Arial" w:hAnsi="Arial"/>
          <w:b/>
          <w:bCs/>
          <w:color w:val="1B3A6B"/>
          <w:sz w:val="20"/>
          <w:szCs w:val="20"/>
        </w:rPr>
        <w:t xml:space="preserve">F5.17 — Lineage Time Travel</w:t>
      </w:r>
    </w:p>
    <w:p>
      <w:pPr>
        <w:spacing w:before="0" w:after="100"/>
        <w:ind w:left="360"/>
      </w:pPr>
      <w:r>
        <w:rPr>
          <w:rFonts w:ascii="Arial" w:cs="Arial" w:eastAsia="Arial" w:hAnsi="Arial"/>
          <w:color w:val="111827"/>
          <w:sz w:val="20"/>
          <w:szCs w:val="20"/>
        </w:rPr>
        <w:t xml:space="preserve">The lineage graph as it existed at any prior point in time shall be reconstructable. Minimum historical retention shall be governance-configurable with a platform minimum of 2 years.</w:t>
      </w:r>
    </w:p>
    <w:p>
      <w:pPr>
        <w:pStyle w:val="Heading3"/>
        <w:spacing w:before="240" w:after="120"/>
      </w:pPr>
      <w:r>
        <w:rPr>
          <w:rFonts w:ascii="Arial" w:cs="Arial" w:eastAsia="Arial" w:hAnsi="Arial"/>
          <w:b/>
          <w:bCs/>
          <w:color w:val="00A9A5"/>
          <w:sz w:val="22"/>
          <w:szCs w:val="22"/>
        </w:rPr>
        <w:t xml:space="preserve">Observability</w:t>
      </w:r>
    </w:p>
    <w:p>
      <w:pPr>
        <w:spacing w:before="160" w:after="60"/>
      </w:pPr>
      <w:r>
        <w:rPr>
          <w:rFonts w:ascii="Arial" w:cs="Arial" w:eastAsia="Arial" w:hAnsi="Arial"/>
          <w:b/>
          <w:bCs/>
          <w:color w:val="1B3A6B"/>
          <w:sz w:val="20"/>
          <w:szCs w:val="20"/>
        </w:rPr>
        <w:t xml:space="preserve">F5.18 — Observability as a Port</w:t>
      </w:r>
    </w:p>
    <w:p>
      <w:pPr>
        <w:spacing w:before="0" w:after="100"/>
        <w:ind w:left="360"/>
      </w:pPr>
      <w:r>
        <w:rPr>
          <w:rFonts w:ascii="Arial" w:cs="Arial" w:eastAsia="Arial" w:hAnsi="Arial"/>
          <w:color w:val="111827"/>
          <w:sz w:val="20"/>
          <w:szCs w:val="20"/>
        </w:rPr>
        <w:t xml:space="preserve">The observability port is the authoritative interface through which consumers, agents, and the governance layer assess a product's runtime health. It is populated from domain-emitted metrics and platform-computed metrics.</w:t>
      </w:r>
    </w:p>
    <w:p>
      <w:pPr>
        <w:spacing w:before="160" w:after="60"/>
      </w:pPr>
      <w:r>
        <w:rPr>
          <w:rFonts w:ascii="Arial" w:cs="Arial" w:eastAsia="Arial" w:hAnsi="Arial"/>
          <w:b/>
          <w:bCs/>
          <w:color w:val="1B3A6B"/>
          <w:sz w:val="20"/>
          <w:szCs w:val="20"/>
        </w:rPr>
        <w:t xml:space="preserve">F5.19 — Observability Metric Categories</w:t>
      </w:r>
    </w:p>
    <w:p>
      <w:pPr>
        <w:spacing w:before="0" w:after="100"/>
        <w:ind w:left="360"/>
      </w:pPr>
      <w:r>
        <w:rPr>
          <w:rFonts w:ascii="Arial" w:cs="Arial" w:eastAsia="Arial" w:hAnsi="Arial"/>
          <w:color w:val="111827"/>
          <w:sz w:val="20"/>
          <w:szCs w:val="20"/>
        </w:rPr>
        <w:t xml:space="preserve">Eight metric categories on every data product: Freshness, Completeness, Schema Conformance, SLO Compliance, Lineage Completeness, Governance Compliance, Connector Health, and Version Currency.</w:t>
      </w:r>
    </w:p>
    <w:p>
      <w:pPr>
        <w:spacing w:before="160" w:after="60"/>
      </w:pPr>
      <w:r>
        <w:rPr>
          <w:rFonts w:ascii="Arial" w:cs="Arial" w:eastAsia="Arial" w:hAnsi="Arial"/>
          <w:b/>
          <w:bCs/>
          <w:color w:val="1B3A6B"/>
          <w:sz w:val="20"/>
          <w:szCs w:val="20"/>
        </w:rPr>
        <w:t xml:space="preserve">F5.20 — SLO Declaration and Monitoring</w:t>
      </w:r>
    </w:p>
    <w:p>
      <w:pPr>
        <w:spacing w:before="0" w:after="100"/>
        <w:ind w:left="360"/>
      </w:pPr>
      <w:r>
        <w:rPr>
          <w:rFonts w:ascii="Arial" w:cs="Arial" w:eastAsia="Arial" w:hAnsi="Arial"/>
          <w:color w:val="111827"/>
          <w:sz w:val="20"/>
          <w:szCs w:val="20"/>
        </w:rPr>
        <w:t xml:space="preserve">Domain teams shall declare SLOs for freshness, availability, schema stability, and query response time. The platform shall continuously evaluate declared SLOs against metrics and update SLO compliance in near real time.</w:t>
      </w:r>
    </w:p>
    <w:p>
      <w:pPr>
        <w:spacing w:before="160" w:after="60"/>
      </w:pPr>
      <w:r>
        <w:rPr>
          <w:rFonts w:ascii="Arial" w:cs="Arial" w:eastAsia="Arial" w:hAnsi="Arial"/>
          <w:b/>
          <w:bCs/>
          <w:color w:val="1B3A6B"/>
          <w:sz w:val="20"/>
          <w:szCs w:val="20"/>
        </w:rPr>
        <w:t xml:space="preserve">F5.21 — Observability Emission</w:t>
      </w:r>
    </w:p>
    <w:p>
      <w:pPr>
        <w:spacing w:before="0" w:after="100"/>
        <w:ind w:left="360"/>
      </w:pPr>
      <w:r>
        <w:rPr>
          <w:rFonts w:ascii="Arial" w:cs="Arial" w:eastAsia="Arial" w:hAnsi="Arial"/>
          <w:color w:val="111827"/>
          <w:sz w:val="20"/>
          <w:szCs w:val="20"/>
        </w:rPr>
        <w:t xml:space="preserve">Domain pipelines shall emit observability metrics via the observability emission API. Discrepancies between platform-computed and domain-emitted metrics shall be flagged as observability drift events.</w:t>
      </w:r>
    </w:p>
    <w:p>
      <w:pPr>
        <w:spacing w:before="160" w:after="60"/>
      </w:pPr>
      <w:r>
        <w:rPr>
          <w:rFonts w:ascii="Arial" w:cs="Arial" w:eastAsia="Arial" w:hAnsi="Arial"/>
          <w:b/>
          <w:bCs/>
          <w:color w:val="1B3A6B"/>
          <w:sz w:val="20"/>
          <w:szCs w:val="20"/>
        </w:rPr>
        <w:t xml:space="preserve">F5.22 — Consumer-Visible Observability</w:t>
      </w:r>
    </w:p>
    <w:p>
      <w:pPr>
        <w:spacing w:before="0" w:after="100"/>
        <w:ind w:left="360"/>
      </w:pPr>
      <w:r>
        <w:rPr>
          <w:rFonts w:ascii="Arial" w:cs="Arial" w:eastAsia="Arial" w:hAnsi="Arial"/>
          <w:color w:val="111827"/>
          <w:sz w:val="20"/>
          <w:szCs w:val="20"/>
        </w:rPr>
        <w:t xml:space="preserve">The observability port shall be accessible to all authorized consumers without a separate access request. Observability data is part of the data product's public contract.</w:t>
      </w:r>
    </w:p>
    <w:p>
      <w:pPr>
        <w:spacing w:before="160" w:after="60"/>
      </w:pPr>
      <w:r>
        <w:rPr>
          <w:rFonts w:ascii="Arial" w:cs="Arial" w:eastAsia="Arial" w:hAnsi="Arial"/>
          <w:b/>
          <w:bCs/>
          <w:color w:val="1B3A6B"/>
          <w:sz w:val="20"/>
          <w:szCs w:val="20"/>
        </w:rPr>
        <w:t xml:space="preserve">F5.23 — Observability Alerting</w:t>
      </w:r>
    </w:p>
    <w:p>
      <w:pPr>
        <w:spacing w:before="0" w:after="100"/>
        <w:ind w:left="360"/>
      </w:pPr>
      <w:r>
        <w:rPr>
          <w:rFonts w:ascii="Arial" w:cs="Arial" w:eastAsia="Arial" w:hAnsi="Arial"/>
          <w:color w:val="111827"/>
          <w:sz w:val="20"/>
          <w:szCs w:val="20"/>
        </w:rPr>
        <w:t xml:space="preserve">Domain teams shall configure alert rules on observability metrics with notifications via webhook, email, or external incident management (PagerDuty, OpsGenie, Slack). The governance layer shall define mandatory minimum alerting requirements by classification.</w:t>
      </w:r>
    </w:p>
    <w:p>
      <w:pPr>
        <w:spacing w:before="160" w:after="60"/>
      </w:pPr>
      <w:r>
        <w:rPr>
          <w:rFonts w:ascii="Arial" w:cs="Arial" w:eastAsia="Arial" w:hAnsi="Arial"/>
          <w:b/>
          <w:bCs/>
          <w:color w:val="1B3A6B"/>
          <w:sz w:val="20"/>
          <w:szCs w:val="20"/>
        </w:rPr>
        <w:t xml:space="preserve">F5.24 — Observability History</w:t>
      </w:r>
    </w:p>
    <w:p>
      <w:pPr>
        <w:spacing w:before="0" w:after="100"/>
        <w:ind w:left="360"/>
      </w:pPr>
      <w:r>
        <w:rPr>
          <w:rFonts w:ascii="Arial" w:cs="Arial" w:eastAsia="Arial" w:hAnsi="Arial"/>
          <w:color w:val="111827"/>
          <w:sz w:val="20"/>
          <w:szCs w:val="20"/>
        </w:rPr>
        <w:t xml:space="preserve">Observability metric history shall be retained and queryable. Minimum retention shall be governance-configurable with a platform minimum of 90 days.</w:t>
      </w:r>
    </w:p>
    <w:p>
      <w:pPr>
        <w:spacing w:before="160" w:after="60"/>
      </w:pPr>
      <w:r>
        <w:rPr>
          <w:rFonts w:ascii="Arial" w:cs="Arial" w:eastAsia="Arial" w:hAnsi="Arial"/>
          <w:b/>
          <w:bCs/>
          <w:color w:val="1B3A6B"/>
          <w:sz w:val="20"/>
          <w:szCs w:val="20"/>
        </w:rPr>
        <w:t xml:space="preserve">F5.25 — Trust Score</w:t>
      </w:r>
    </w:p>
    <w:p>
      <w:pPr>
        <w:spacing w:before="0" w:after="100"/>
        <w:ind w:left="360"/>
      </w:pPr>
      <w:r>
        <w:rPr>
          <w:rFonts w:ascii="Arial" w:cs="Arial" w:eastAsia="Arial" w:hAnsi="Arial"/>
          <w:color w:val="111827"/>
          <w:sz w:val="20"/>
          <w:szCs w:val="20"/>
        </w:rPr>
        <w:t xml:space="preserve">The platform shall compute a trust score for every published product — a composite of lineage completeness, SLO compliance history, governance compliance state, schema conformance, and freshness consistency over a rolling time window. The algorithm shall be transparent and documented.</w:t>
      </w:r>
    </w:p>
    <w:p>
      <w:pPr>
        <w:spacing w:before="160" w:after="60"/>
      </w:pPr>
      <w:r>
        <w:rPr>
          <w:rFonts w:ascii="Arial" w:cs="Arial" w:eastAsia="Arial" w:hAnsi="Arial"/>
          <w:b/>
          <w:bCs/>
          <w:color w:val="1B3A6B"/>
          <w:sz w:val="20"/>
          <w:szCs w:val="20"/>
        </w:rPr>
        <w:t xml:space="preserve">F5.26 — Agent Consumption Tracking</w:t>
      </w:r>
    </w:p>
    <w:p>
      <w:pPr>
        <w:spacing w:before="0" w:after="100"/>
        <w:ind w:left="360"/>
      </w:pPr>
      <w:r>
        <w:rPr>
          <w:rFonts w:ascii="Arial" w:cs="Arial" w:eastAsia="Arial" w:hAnsi="Arial"/>
          <w:color w:val="111827"/>
          <w:sz w:val="20"/>
          <w:szCs w:val="20"/>
        </w:rPr>
        <w:t xml:space="preserve">Every AI agent consumption event against an output port shall be recorded automatically — capturing agent identity, model version, timestamp, query pattern, and governance policy version.</w:t>
      </w:r>
    </w:p>
    <w:p>
      <w:pPr>
        <w:spacing w:before="160" w:after="60"/>
      </w:pPr>
      <w:r>
        <w:rPr>
          <w:rFonts w:ascii="Arial" w:cs="Arial" w:eastAsia="Arial" w:hAnsi="Arial"/>
          <w:b/>
          <w:bCs/>
          <w:color w:val="1B3A6B"/>
          <w:sz w:val="20"/>
          <w:szCs w:val="20"/>
        </w:rPr>
        <w:t xml:space="preserve">F5.27 — Non-Determinism Lineage Markers</w:t>
      </w:r>
    </w:p>
    <w:p>
      <w:pPr>
        <w:spacing w:before="0" w:after="100"/>
        <w:ind w:left="360"/>
      </w:pPr>
      <w:r>
        <w:rPr>
          <w:rFonts w:ascii="Arial" w:cs="Arial" w:eastAsia="Arial" w:hAnsi="Arial"/>
          <w:color w:val="111827"/>
          <w:sz w:val="20"/>
          <w:szCs w:val="20"/>
        </w:rPr>
        <w:t xml:space="preserve">Lineage edges produced by AI agent transformations shall carry a non-determinism marker indicating probabilistic reasoning. Downstream products inheriting from agent-produced products shall surface this marker in their own lineage.</w:t>
      </w:r>
    </w:p>
    <w:p>
      <w:pPr>
        <w:spacing w:before="160" w:after="60"/>
      </w:pPr>
      <w:r>
        <w:rPr>
          <w:rFonts w:ascii="Arial" w:cs="Arial" w:eastAsia="Arial" w:hAnsi="Arial"/>
          <w:b/>
          <w:bCs/>
          <w:color w:val="1B3A6B"/>
          <w:sz w:val="20"/>
          <w:szCs w:val="20"/>
        </w:rPr>
        <w:t xml:space="preserve">F5.28 — Agent Observability Signals</w:t>
      </w:r>
    </w:p>
    <w:p>
      <w:pPr>
        <w:spacing w:before="0" w:after="100"/>
        <w:ind w:left="360"/>
      </w:pPr>
      <w:r>
        <w:rPr>
          <w:rFonts w:ascii="Arial" w:cs="Arial" w:eastAsia="Arial" w:hAnsi="Arial"/>
          <w:color w:val="111827"/>
          <w:sz w:val="20"/>
          <w:szCs w:val="20"/>
        </w:rPr>
        <w:t xml:space="preserve">Agent-produced data products shall expose additional signals: model drift indicator, reasoning stability score, and human review status.</w:t>
      </w:r>
    </w:p>
    <w:p>
      <w:pPr>
        <w:pStyle w:val="Heading2"/>
        <w:spacing w:before="320" w:after="160"/>
      </w:pPr>
      <w:r>
        <w:rPr>
          <w:rFonts w:ascii="Arial" w:cs="Arial" w:eastAsia="Arial" w:hAnsi="Arial"/>
          <w:b/>
          <w:bCs/>
          <w:color w:val="2E75B6"/>
          <w:sz w:val="26"/>
          <w:szCs w:val="26"/>
        </w:rPr>
        <w:t xml:space="preserve">Non-Functional Requirements</w:t>
      </w:r>
    </w:p>
    <w:p>
      <w:pPr>
        <w:spacing w:before="160" w:after="60"/>
      </w:pPr>
      <w:r>
        <w:rPr>
          <w:rFonts w:ascii="Arial" w:cs="Arial" w:eastAsia="Arial" w:hAnsi="Arial"/>
          <w:b/>
          <w:bCs/>
          <w:color w:val="2E75B6"/>
          <w:sz w:val="20"/>
          <w:szCs w:val="20"/>
        </w:rPr>
        <w:t xml:space="preserve">NF5.1 — Lineage Graph Query Performance</w:t>
      </w:r>
    </w:p>
    <w:p>
      <w:pPr>
        <w:spacing w:before="0" w:after="100"/>
        <w:ind w:left="360"/>
      </w:pPr>
      <w:r>
        <w:rPr>
          <w:rFonts w:ascii="Arial" w:cs="Arial" w:eastAsia="Arial" w:hAnsi="Arial"/>
          <w:color w:val="111827"/>
          <w:sz w:val="20"/>
          <w:szCs w:val="20"/>
        </w:rPr>
        <w:t xml:space="preserve">Upstream/downstream traversal to 10 hops shall return in under 5 seconds. Impact analysis across the full organization graph shall complete in under 30 seconds.</w:t>
      </w:r>
    </w:p>
    <w:p>
      <w:pPr>
        <w:spacing w:before="160" w:after="60"/>
      </w:pPr>
      <w:r>
        <w:rPr>
          <w:rFonts w:ascii="Arial" w:cs="Arial" w:eastAsia="Arial" w:hAnsi="Arial"/>
          <w:b/>
          <w:bCs/>
          <w:color w:val="2E75B6"/>
          <w:sz w:val="20"/>
          <w:szCs w:val="20"/>
        </w:rPr>
        <w:t xml:space="preserve">NF5.2 — Emission Throughput</w:t>
      </w:r>
    </w:p>
    <w:p>
      <w:pPr>
        <w:spacing w:before="0" w:after="100"/>
        <w:ind w:left="360"/>
      </w:pPr>
      <w:r>
        <w:rPr>
          <w:rFonts w:ascii="Arial" w:cs="Arial" w:eastAsia="Arial" w:hAnsi="Arial"/>
          <w:color w:val="111827"/>
          <w:sz w:val="20"/>
          <w:szCs w:val="20"/>
        </w:rPr>
        <w:t xml:space="preserve">10,000 lineage events per second per organization; 100ms p99 ingestion latency.</w:t>
      </w:r>
    </w:p>
    <w:p>
      <w:pPr>
        <w:spacing w:before="160" w:after="60"/>
      </w:pPr>
      <w:r>
        <w:rPr>
          <w:rFonts w:ascii="Arial" w:cs="Arial" w:eastAsia="Arial" w:hAnsi="Arial"/>
          <w:b/>
          <w:bCs/>
          <w:color w:val="2E75B6"/>
          <w:sz w:val="20"/>
          <w:szCs w:val="20"/>
        </w:rPr>
        <w:t xml:space="preserve">NF5.3 — Observability Freshness</w:t>
      </w:r>
    </w:p>
    <w:p>
      <w:pPr>
        <w:spacing w:before="0" w:after="100"/>
        <w:ind w:left="360"/>
      </w:pPr>
      <w:r>
        <w:rPr>
          <w:rFonts w:ascii="Arial" w:cs="Arial" w:eastAsia="Arial" w:hAnsi="Arial"/>
          <w:color w:val="111827"/>
          <w:sz w:val="20"/>
          <w:szCs w:val="20"/>
        </w:rPr>
        <w:t xml:space="preserve">Platform-computed observability metrics shall reflect current state within a maximum lag of 5 minutes under normal operating conditions.</w:t>
      </w:r>
    </w:p>
    <w:p>
      <w:pPr>
        <w:spacing w:before="160" w:after="60"/>
      </w:pPr>
      <w:r>
        <w:rPr>
          <w:rFonts w:ascii="Arial" w:cs="Arial" w:eastAsia="Arial" w:hAnsi="Arial"/>
          <w:b/>
          <w:bCs/>
          <w:color w:val="2E75B6"/>
          <w:sz w:val="20"/>
          <w:szCs w:val="20"/>
        </w:rPr>
        <w:t xml:space="preserve">NF5.4 — Trust Score Recalculation</w:t>
      </w:r>
    </w:p>
    <w:p>
      <w:pPr>
        <w:spacing w:before="0" w:after="100"/>
        <w:ind w:left="360"/>
      </w:pPr>
      <w:r>
        <w:rPr>
          <w:rFonts w:ascii="Arial" w:cs="Arial" w:eastAsia="Arial" w:hAnsi="Arial"/>
          <w:color w:val="111827"/>
          <w:sz w:val="20"/>
          <w:szCs w:val="20"/>
        </w:rPr>
        <w:t xml:space="preserve">Trust scores shall be recalculated within 10 minutes of any material event: SLO violation, schema drift, compliance state change, or lineage drift detection.</w:t>
      </w:r>
    </w:p>
    <w:p>
      <w:pPr>
        <w:spacing w:before="160" w:after="60"/>
      </w:pPr>
      <w:r>
        <w:rPr>
          <w:rFonts w:ascii="Arial" w:cs="Arial" w:eastAsia="Arial" w:hAnsi="Arial"/>
          <w:b/>
          <w:bCs/>
          <w:color w:val="2E75B6"/>
          <w:sz w:val="20"/>
          <w:szCs w:val="20"/>
        </w:rPr>
        <w:t xml:space="preserve">NF5.5 — Lineage Graph Scale</w:t>
      </w:r>
    </w:p>
    <w:p>
      <w:pPr>
        <w:spacing w:before="0" w:after="100"/>
        <w:ind w:left="360"/>
      </w:pPr>
      <w:r>
        <w:rPr>
          <w:rFonts w:ascii="Arial" w:cs="Arial" w:eastAsia="Arial" w:hAnsi="Arial"/>
          <w:color w:val="111827"/>
          <w:sz w:val="20"/>
          <w:szCs w:val="20"/>
        </w:rPr>
        <w:t xml:space="preserve">The lineage graph shall support up to 5,000,000 nodes and 20,000,000 edges per organization without query performance degradation.</w:t>
      </w:r>
    </w:p>
    <w:p>
      <w:pPr>
        <w:spacing w:before="160" w:after="60"/>
      </w:pPr>
      <w:r>
        <w:rPr>
          <w:rFonts w:ascii="Arial" w:cs="Arial" w:eastAsia="Arial" w:hAnsi="Arial"/>
          <w:b/>
          <w:bCs/>
          <w:color w:val="2E75B6"/>
          <w:sz w:val="20"/>
          <w:szCs w:val="20"/>
        </w:rPr>
        <w:t xml:space="preserve">NF5.6 — Historical Lineage Reconstruction</w:t>
      </w:r>
    </w:p>
    <w:p>
      <w:pPr>
        <w:spacing w:before="0" w:after="100"/>
        <w:ind w:left="360"/>
      </w:pPr>
      <w:r>
        <w:rPr>
          <w:rFonts w:ascii="Arial" w:cs="Arial" w:eastAsia="Arial" w:hAnsi="Arial"/>
          <w:color w:val="111827"/>
          <w:sz w:val="20"/>
          <w:szCs w:val="20"/>
        </w:rPr>
        <w:t xml:space="preserve">Full-organization historical reconstruction shall complete in under 60 seconds. Single product reconstruction shall complete in under 5 seconds.</w:t>
      </w:r>
    </w:p>
    <w:p>
      <w:pPr>
        <w:spacing w:before="160" w:after="60"/>
      </w:pPr>
      <w:r>
        <w:rPr>
          <w:rFonts w:ascii="Arial" w:cs="Arial" w:eastAsia="Arial" w:hAnsi="Arial"/>
          <w:b/>
          <w:bCs/>
          <w:color w:val="2E75B6"/>
          <w:sz w:val="20"/>
          <w:szCs w:val="20"/>
        </w:rPr>
        <w:t xml:space="preserve">NF5.7 — Observability Availability</w:t>
      </w:r>
    </w:p>
    <w:p>
      <w:pPr>
        <w:spacing w:before="0" w:after="100"/>
        <w:ind w:left="360"/>
      </w:pPr>
      <w:r>
        <w:rPr>
          <w:rFonts w:ascii="Arial" w:cs="Arial" w:eastAsia="Arial" w:hAnsi="Arial"/>
          <w:color w:val="111827"/>
          <w:sz w:val="20"/>
          <w:szCs w:val="20"/>
        </w:rPr>
        <w:t xml:space="preserve">Observability port data shall be available even during control plane degradation, served from a read-optimized store architecturally independent of the write path.</w:t>
      </w:r>
    </w:p>
    <w:p>
      <w:pPr>
        <w:pStyle w:val="Heading2"/>
        <w:spacing w:before="320" w:after="160"/>
      </w:pPr>
      <w:r>
        <w:rPr>
          <w:rFonts w:ascii="Arial" w:cs="Arial" w:eastAsia="Arial" w:hAnsi="Arial"/>
          <w:b/>
          <w:bCs/>
          <w:color w:val="2E75B6"/>
          <w:sz w:val="26"/>
          <w:szCs w:val="26"/>
        </w:rPr>
        <w:t xml:space="preserve">Out of Scope</w:t>
      </w:r>
    </w:p>
    <w:p>
      <w:pPr>
        <w:spacing w:before="80" w:after="80"/>
        <w:ind w:left="360"/>
      </w:pPr>
      <w:r>
        <w:rPr>
          <w:rFonts w:ascii="Courier New" w:cs="Courier New" w:eastAsia="Courier New" w:hAnsi="Courier New"/>
          <w:b/>
          <w:bCs/>
          <w:color w:val="EF4444"/>
          <w:sz w:val="18"/>
          <w:szCs w:val="18"/>
        </w:rPr>
        <w:t xml:space="preserve">OS5.1  </w:t>
      </w:r>
      <w:r>
        <w:rPr>
          <w:rFonts w:ascii="Arial" w:cs="Arial" w:eastAsia="Arial" w:hAnsi="Arial"/>
          <w:color w:val="111827"/>
          <w:sz w:val="20"/>
          <w:szCs w:val="20"/>
        </w:rPr>
        <w:t xml:space="preserve">Internal data quality metric computation. Quality signals are emitted by domain pipelines; the platform aggregates and surfaces them.</w:t>
      </w:r>
    </w:p>
    <w:p>
      <w:pPr>
        <w:spacing w:before="80" w:after="80"/>
        <w:ind w:left="360"/>
      </w:pPr>
      <w:r>
        <w:rPr>
          <w:rFonts w:ascii="Courier New" w:cs="Courier New" w:eastAsia="Courier New" w:hAnsi="Courier New"/>
          <w:b/>
          <w:bCs/>
          <w:color w:val="EF4444"/>
          <w:sz w:val="18"/>
          <w:szCs w:val="18"/>
        </w:rPr>
        <w:t xml:space="preserve">OS5.2  </w:t>
      </w:r>
      <w:r>
        <w:rPr>
          <w:rFonts w:ascii="Arial" w:cs="Arial" w:eastAsia="Arial" w:hAnsi="Arial"/>
          <w:color w:val="111827"/>
          <w:sz w:val="20"/>
          <w:szCs w:val="20"/>
        </w:rPr>
        <w:t xml:space="preserve">Data profiling (statistical analysis: distributions, cardinality, outliers).</w:t>
      </w:r>
    </w:p>
    <w:p>
      <w:pPr>
        <w:spacing w:before="80" w:after="80"/>
        <w:ind w:left="360"/>
      </w:pPr>
      <w:r>
        <w:rPr>
          <w:rFonts w:ascii="Courier New" w:cs="Courier New" w:eastAsia="Courier New" w:hAnsi="Courier New"/>
          <w:b/>
          <w:bCs/>
          <w:color w:val="EF4444"/>
          <w:sz w:val="18"/>
          <w:szCs w:val="18"/>
        </w:rPr>
        <w:t xml:space="preserve">OS5.3  </w:t>
      </w:r>
      <w:r>
        <w:rPr>
          <w:rFonts w:ascii="Arial" w:cs="Arial" w:eastAsia="Arial" w:hAnsi="Arial"/>
          <w:color w:val="111827"/>
          <w:sz w:val="20"/>
          <w:szCs w:val="20"/>
        </w:rPr>
        <w:t xml:space="preserve">Real-time operational monitoring dashboards. Observability data is for data product trust evaluation, not infrastructure monitoring.</w:t>
      </w:r>
    </w:p>
    <w:p>
      <w:pPr>
        <w:spacing w:before="80" w:after="80"/>
        <w:ind w:left="360"/>
      </w:pPr>
      <w:r>
        <w:rPr>
          <w:rFonts w:ascii="Courier New" w:cs="Courier New" w:eastAsia="Courier New" w:hAnsi="Courier New"/>
          <w:b/>
          <w:bCs/>
          <w:color w:val="EF4444"/>
          <w:sz w:val="18"/>
          <w:szCs w:val="18"/>
        </w:rPr>
        <w:t xml:space="preserve">OS5.4  </w:t>
      </w:r>
      <w:r>
        <w:rPr>
          <w:rFonts w:ascii="Arial" w:cs="Arial" w:eastAsia="Arial" w:hAnsi="Arial"/>
          <w:color w:val="111827"/>
          <w:sz w:val="20"/>
          <w:szCs w:val="20"/>
        </w:rPr>
        <w:t xml:space="preserve">[POST-MVP] Trust score weight customization by governance or domain teams.</w:t>
      </w:r>
    </w:p>
    <w:p>
      <w:pPr>
        <w:spacing w:before="80" w:after="80"/>
        <w:ind w:left="360"/>
      </w:pPr>
      <w:r>
        <w:rPr>
          <w:rFonts w:ascii="Courier New" w:cs="Courier New" w:eastAsia="Courier New" w:hAnsi="Courier New"/>
          <w:b/>
          <w:bCs/>
          <w:color w:val="EF4444"/>
          <w:sz w:val="18"/>
          <w:szCs w:val="18"/>
        </w:rPr>
        <w:t xml:space="preserve">OS5.5  </w:t>
      </w:r>
      <w:r>
        <w:rPr>
          <w:rFonts w:ascii="Arial" w:cs="Arial" w:eastAsia="Arial" w:hAnsi="Arial"/>
          <w:color w:val="111827"/>
          <w:sz w:val="20"/>
          <w:szCs w:val="20"/>
        </w:rPr>
        <w:t xml:space="preserve">Automated lineage backfill for pre-adoption data products. Historical pre-adoption lineage may be manually declared.</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Domain 5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as queryable first-class graph asset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Six lineage node types including Agent Nodes as distinct type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Five lineage edge types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Dual lineage assembly — declared plus emitted, reconciled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completeness scoring with governance-configurable thresholds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Arbitrary depth lineage traversal</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Cross-domain lineage with access-grant-governed visibility</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Open lineage event schema — OpenLineage-aligned, platform-extended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Emission authenticated by principal identity — immutable in record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F5.10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Idempotent emission API — safe retry without lineage corruption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F5.11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Batch and streaming emission modes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F5.12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lineage emission with extended provenance payload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F5.13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drift detection — declared vs emitted discrepancy surfacing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F5.14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graph query API — five query patterns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F5.15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Interactive lineage visualization with node type encoding and export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F5.16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Mandatory impact analysis acknowledgment before breaking changes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F5.17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time travel — 2-year platform minimum retention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F5.18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 as a port — populated from emissions and platform computation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F5.19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Eight observability metric categories on every product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F5.20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SLO declaration and continuous near-real-time monitoring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F5.21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Observability emission with drift detection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F5.22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Consumer-visible observability — no separate access request required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F5.23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Configurable alerting with governance-mandatable minimums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F5.24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 history — 90-day platform minimum</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F5.25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Trust score — composite, transparent algorithm</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F5.26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Automatic agent consumption tracking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F5.27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Non-determinism lineage markers on agent transformation edges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F5.28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Agent-specific observability signals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NF5.1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traversal 10 hops under 5s; impact analysis under 30s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NF5.2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10,000 events/sec, 100ms p99 ingestion latency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NF5.3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Observability metrics current within 5 minutes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NF5.4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Trust score recalculated within 10 minutes of material events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NF5.5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graph: 5M nodes, 20M edges per org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NF5.6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Historical reconstruction under 60s full org, 5s single product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NF5.7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Observability availability independent of control plane health</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OS5.1</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Internal data quality metric computation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OS5.2</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profiling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OS5.3</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Real-time operational monitoring dashboards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OS5.4</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Trust score weight customization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OS5.5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Automated lineage backfill for pre-adoption products</w:t>
            </w:r>
          </w:p>
        </w:tc>
      </w:tr>
    </w:tbl>
    <w:p>
      <w:pPr>
        <w:spacing w:before="0" w:after="60"/>
      </w:pPr>
      <w:r>
        <w:rPr>
          <w:rFonts w:ascii="Arial" w:cs="Arial" w:eastAsia="Arial" w:hAnsi="Arial"/>
          <w:b/>
          <w:bCs/>
          <w:color w:val="00A9A5"/>
          <w:sz w:val="20"/>
          <w:szCs w:val="20"/>
        </w:rPr>
        <w:t xml:space="preserve">Domain 6</w:t>
      </w:r>
    </w:p>
    <w:p>
      <w:pPr>
        <w:pStyle w:val="Heading1"/>
        <w:pageBreakBefore/>
        <w:spacing w:before="0" w:after="180"/>
      </w:pPr>
      <w:r>
        <w:rPr>
          <w:rFonts w:ascii="Arial" w:cs="Arial" w:eastAsia="Arial" w:hAnsi="Arial"/>
          <w:b/>
          <w:bCs/>
          <w:color w:val="1B3A6B"/>
          <w:sz w:val="36"/>
          <w:szCs w:val="36"/>
        </w:rPr>
        <w:t xml:space="preserve">Agent Integration Layer</w:t>
      </w:r>
    </w:p>
    <w:p>
      <w:pPr>
        <w:spacing w:before="0" w:after="240"/>
      </w:pPr>
      <w:r>
        <w:rPr>
          <w:rFonts w:ascii="Arial" w:cs="Arial" w:eastAsia="Arial" w:hAnsi="Arial"/>
          <w:i/>
          <w:iCs/>
          <w:color w:val="6B7280"/>
          <w:sz w:val="20"/>
          <w:szCs w:val="20"/>
        </w:rPr>
        <w:t xml:space="preserve">The most novel domain in the platform — where Data 3.0 departs most significantly from prior data mesh frameworks. Defines AI agent identity, access control, the federated semantic query layer, agent-as-producer governance, and agent discovery capabilities.</w:t>
      </w:r>
    </w:p>
    <w:p>
      <w:pPr>
        <w:pBdr>
          <w:bottom w:val="single" w:color="2E75B6" w:sz="6" w:space="1"/>
        </w:pBdr>
        <w:spacing w:before="160" w:after="160"/>
      </w:pPr>
      <w:r>
        <w:t xml:space="preserve"/>
      </w:r>
    </w:p>
    <w:p>
      <w:pPr>
        <w:spacing w:before="60" w:after="80"/>
      </w:pPr>
      <w:r>
        <w:rPr>
          <w:rFonts w:ascii="Arial" w:cs="Arial" w:eastAsia="Arial" w:hAnsi="Arial"/>
          <w:i/>
          <w:iCs/>
          <w:color w:val="6B7280"/>
          <w:sz w:val="20"/>
          <w:szCs w:val="20"/>
        </w:rPr>
        <w:t xml:space="preserve">The central design challenge of this domain: agents are simultaneously the most powerful consumers the platform will ever have and the least trustworthy ones by default. The agent integration layer must make agents capable without making them ungovernable.</w:t>
      </w:r>
    </w:p>
    <w:p>
      <w:pPr>
        <w:spacing w:before="120" w:after="120"/>
      </w:pPr>
      <w:r>
        <w:t xml:space="preserve"/>
      </w:r>
    </w:p>
    <w:p>
      <w:pPr>
        <w:pStyle w:val="Heading2"/>
        <w:spacing w:before="320" w:after="160"/>
      </w:pPr>
      <w:r>
        <w:rPr>
          <w:rFonts w:ascii="Arial" w:cs="Arial" w:eastAsia="Arial" w:hAnsi="Arial"/>
          <w:b/>
          <w:bCs/>
          <w:color w:val="2E75B6"/>
          <w:sz w:val="26"/>
          <w:szCs w:val="26"/>
        </w:rPr>
        <w:t xml:space="preserve">Functional Requirements</w:t>
      </w:r>
    </w:p>
    <w:p>
      <w:pPr>
        <w:pStyle w:val="Heading3"/>
        <w:spacing w:before="240" w:after="120"/>
      </w:pPr>
      <w:r>
        <w:rPr>
          <w:rFonts w:ascii="Arial" w:cs="Arial" w:eastAsia="Arial" w:hAnsi="Arial"/>
          <w:b/>
          <w:bCs/>
          <w:color w:val="00A9A5"/>
          <w:sz w:val="22"/>
          <w:szCs w:val="22"/>
        </w:rPr>
        <w:t xml:space="preserve">Agent Identity</w:t>
      </w:r>
    </w:p>
    <w:p>
      <w:pPr>
        <w:spacing w:before="160" w:after="60"/>
      </w:pPr>
      <w:r>
        <w:rPr>
          <w:rFonts w:ascii="Arial" w:cs="Arial" w:eastAsia="Arial" w:hAnsi="Arial"/>
          <w:b/>
          <w:bCs/>
          <w:color w:val="1B3A6B"/>
          <w:sz w:val="20"/>
          <w:szCs w:val="20"/>
        </w:rPr>
        <w:t xml:space="preserve">F6.1 — Agent Identity as First-Class Principal</w:t>
      </w:r>
    </w:p>
    <w:p>
      <w:pPr>
        <w:spacing w:before="0" w:after="100"/>
        <w:ind w:left="360"/>
      </w:pPr>
      <w:r>
        <w:rPr>
          <w:rFonts w:ascii="Arial" w:cs="Arial" w:eastAsia="Arial" w:hAnsi="Arial"/>
          <w:color w:val="111827"/>
          <w:sz w:val="20"/>
          <w:szCs w:val="20"/>
        </w:rPr>
        <w:t xml:space="preserve">The platform shall treat AI agent identities as a distinct principal type — not a variant of human users and not equivalent to service accounts. Agent identities carry: model identifier, model version, agent framework, delegated authority scope, and a trust classification. These attributes are immutable once registered and updated only through new identity registration.</w:t>
      </w:r>
    </w:p>
    <w:p>
      <w:pPr>
        <w:spacing w:before="160" w:after="60"/>
      </w:pPr>
      <w:r>
        <w:rPr>
          <w:rFonts w:ascii="Arial" w:cs="Arial" w:eastAsia="Arial" w:hAnsi="Arial"/>
          <w:b/>
          <w:bCs/>
          <w:color w:val="1B3A6B"/>
          <w:sz w:val="20"/>
          <w:szCs w:val="20"/>
        </w:rPr>
        <w:t xml:space="preserve">F6.2 — Agent Identity Registration</w:t>
      </w:r>
    </w:p>
    <w:p>
      <w:pPr>
        <w:spacing w:before="0" w:after="100"/>
        <w:ind w:left="360"/>
      </w:pPr>
      <w:r>
        <w:rPr>
          <w:rFonts w:ascii="Arial" w:cs="Arial" w:eastAsia="Arial" w:hAnsi="Arial"/>
          <w:color w:val="111827"/>
          <w:sz w:val="20"/>
          <w:szCs w:val="20"/>
        </w:rPr>
        <w:t xml:space="preserve">Registration shall capture: agent name and description, owning domain, model provider and identifier, model version or version constraint, agent framework, intended consumption patterns (read-only, read-write, production-capable), maximum access scope declaration, and a named human oversight contact. Registration shall require governance layer acknowledgment for production-capable agents.</w:t>
      </w:r>
    </w:p>
    <w:p>
      <w:pPr>
        <w:spacing w:before="160" w:after="60"/>
      </w:pPr>
      <w:r>
        <w:rPr>
          <w:rFonts w:ascii="Arial" w:cs="Arial" w:eastAsia="Arial" w:hAnsi="Arial"/>
          <w:b/>
          <w:bCs/>
          <w:color w:val="1B3A6B"/>
          <w:sz w:val="20"/>
          <w:szCs w:val="20"/>
        </w:rPr>
        <w:t xml:space="preserve">F6.3 — Agent Trust Classification</w:t>
      </w:r>
    </w:p>
    <w:p>
      <w:pPr>
        <w:spacing w:before="0" w:after="100"/>
        <w:ind w:left="360"/>
      </w:pPr>
      <w:r>
        <w:rPr>
          <w:rFonts w:ascii="Arial" w:cs="Arial" w:eastAsia="Arial" w:hAnsi="Arial"/>
          <w:color w:val="111827"/>
          <w:sz w:val="20"/>
          <w:szCs w:val="20"/>
        </w:rPr>
        <w:t xml:space="preserve">The governance layer shall define an agent trust classification taxonomy. Platform default: Observed (every action logged, surfaced for human review before downstream effects are committed), Supervised (permitted within pre-approved scope, sampled for review, auto-escalation on anomaly), and Autonomous (permitted within pre-approved scope with post-hoc audit only). Upgrades require formal governance review.</w:t>
      </w:r>
    </w:p>
    <w:p>
      <w:pPr>
        <w:spacing w:before="160" w:after="60"/>
      </w:pPr>
      <w:r>
        <w:rPr>
          <w:rFonts w:ascii="Arial" w:cs="Arial" w:eastAsia="Arial" w:hAnsi="Arial"/>
          <w:b/>
          <w:bCs/>
          <w:color w:val="1B3A6B"/>
          <w:sz w:val="20"/>
          <w:szCs w:val="20"/>
        </w:rPr>
        <w:t xml:space="preserve">F6.4 — Agent Identity Lifecycle</w:t>
      </w:r>
    </w:p>
    <w:p>
      <w:pPr>
        <w:spacing w:before="0" w:after="100"/>
        <w:ind w:left="360"/>
      </w:pPr>
      <w:r>
        <w:rPr>
          <w:rFonts w:ascii="Arial" w:cs="Arial" w:eastAsia="Arial" w:hAnsi="Arial"/>
          <w:color w:val="111827"/>
          <w:sz w:val="20"/>
          <w:szCs w:val="20"/>
        </w:rPr>
        <w:t xml:space="preserve">Lifecycle states: Registered, Active, Suspended, Retired. Suspension immediately revokes all active access grants without affecting produced data products. Retirement permanently deactivates the identity preserving all audit and lineage history. Agent identities shall not be deleted.</w:t>
      </w:r>
    </w:p>
    <w:p>
      <w:pPr>
        <w:spacing w:before="160" w:after="60"/>
      </w:pPr>
      <w:r>
        <w:rPr>
          <w:rFonts w:ascii="Arial" w:cs="Arial" w:eastAsia="Arial" w:hAnsi="Arial"/>
          <w:b/>
          <w:bCs/>
          <w:color w:val="1B3A6B"/>
          <w:sz w:val="20"/>
          <w:szCs w:val="20"/>
        </w:rPr>
        <w:t xml:space="preserve">F6.5 — Model Version Binding</w:t>
      </w:r>
    </w:p>
    <w:p>
      <w:pPr>
        <w:spacing w:before="0" w:after="100"/>
        <w:ind w:left="360"/>
      </w:pPr>
      <w:r>
        <w:rPr>
          <w:rFonts w:ascii="Arial" w:cs="Arial" w:eastAsia="Arial" w:hAnsi="Arial"/>
          <w:color w:val="111827"/>
          <w:sz w:val="20"/>
          <w:szCs w:val="20"/>
        </w:rPr>
        <w:t xml:space="preserve">An agent identity shall be bound to a specific model version or version constraint. Model version changes shall require re-registration or explicit acknowledgment by the owning domain team and governance layer. Prior version lineage records remain attributed to the prior identity.</w:t>
      </w:r>
    </w:p>
    <w:p>
      <w:pPr>
        <w:spacing w:before="160" w:after="60"/>
      </w:pPr>
      <w:r>
        <w:rPr>
          <w:rFonts w:ascii="Arial" w:cs="Arial" w:eastAsia="Arial" w:hAnsi="Arial"/>
          <w:b/>
          <w:bCs/>
          <w:color w:val="1B3A6B"/>
          <w:sz w:val="20"/>
          <w:szCs w:val="20"/>
        </w:rPr>
        <w:t xml:space="preserve">F6.6 — Human Oversight Requirement</w:t>
      </w:r>
    </w:p>
    <w:p>
      <w:pPr>
        <w:spacing w:before="0" w:after="100"/>
        <w:ind w:left="360"/>
      </w:pPr>
      <w:r>
        <w:rPr>
          <w:rFonts w:ascii="Arial" w:cs="Arial" w:eastAsia="Arial" w:hAnsi="Arial"/>
          <w:color w:val="111827"/>
          <w:sz w:val="20"/>
          <w:szCs w:val="20"/>
        </w:rPr>
        <w:t xml:space="preserve">Every agent identity shall have a named human oversight contact — a human principal accountable for the agent's behavior — who receives all escalation notifications and governance review requests. An agent whose oversight contact is no longer an active platform principal shall be automatically suspended.</w:t>
      </w:r>
    </w:p>
    <w:p>
      <w:pPr>
        <w:pStyle w:val="Heading3"/>
        <w:spacing w:before="240" w:after="120"/>
      </w:pPr>
      <w:r>
        <w:rPr>
          <w:rFonts w:ascii="Arial" w:cs="Arial" w:eastAsia="Arial" w:hAnsi="Arial"/>
          <w:b/>
          <w:bCs/>
          <w:color w:val="00A9A5"/>
          <w:sz w:val="22"/>
          <w:szCs w:val="22"/>
        </w:rPr>
        <w:t xml:space="preserve">Agent Access Control</w:t>
      </w:r>
    </w:p>
    <w:p>
      <w:pPr>
        <w:spacing w:before="160" w:after="60"/>
      </w:pPr>
      <w:r>
        <w:rPr>
          <w:rFonts w:ascii="Arial" w:cs="Arial" w:eastAsia="Arial" w:hAnsi="Arial"/>
          <w:b/>
          <w:bCs/>
          <w:color w:val="1B3A6B"/>
          <w:sz w:val="20"/>
          <w:szCs w:val="20"/>
        </w:rPr>
        <w:t xml:space="preserve">F6.7 — Agent Access Grants</w:t>
      </w:r>
    </w:p>
    <w:p>
      <w:pPr>
        <w:spacing w:before="0" w:after="100"/>
        <w:ind w:left="360"/>
      </w:pPr>
      <w:r>
        <w:rPr>
          <w:rFonts w:ascii="Arial" w:cs="Arial" w:eastAsia="Arial" w:hAnsi="Arial"/>
          <w:color w:val="111827"/>
          <w:sz w:val="20"/>
          <w:szCs w:val="20"/>
        </w:rPr>
        <w:t xml:space="preserve">Agent access grants shall specify: a maximum query rate limit, an expiration date (no indefinite grants), governance layer approval for Autonomous trust class agents regardless of classification, and explicit acknowledgment of AI provenance requirements for production-capable agents.</w:t>
      </w:r>
    </w:p>
    <w:p>
      <w:pPr>
        <w:spacing w:before="160" w:after="60"/>
      </w:pPr>
      <w:r>
        <w:rPr>
          <w:rFonts w:ascii="Arial" w:cs="Arial" w:eastAsia="Arial" w:hAnsi="Arial"/>
          <w:b/>
          <w:bCs/>
          <w:color w:val="1B3A6B"/>
          <w:sz w:val="20"/>
          <w:szCs w:val="20"/>
        </w:rPr>
        <w:t xml:space="preserve">F6.8 — Agent Access Scope Enforcement</w:t>
      </w:r>
    </w:p>
    <w:p>
      <w:pPr>
        <w:spacing w:before="0" w:after="100"/>
        <w:ind w:left="360"/>
      </w:pPr>
      <w:r>
        <w:rPr>
          <w:rFonts w:ascii="Arial" w:cs="Arial" w:eastAsia="Arial" w:hAnsi="Arial"/>
          <w:color w:val="111827"/>
          <w:sz w:val="20"/>
          <w:szCs w:val="20"/>
        </w:rPr>
        <w:t xml:space="preserve">An agent registered as read-only shall be architecturally prevented from writing to or producing data products — not merely a policy check. Scope enforcement shall be at the platform infrastructure level.</w:t>
      </w:r>
    </w:p>
    <w:p>
      <w:pPr>
        <w:spacing w:before="160" w:after="60"/>
      </w:pPr>
      <w:r>
        <w:rPr>
          <w:rFonts w:ascii="Arial" w:cs="Arial" w:eastAsia="Arial" w:hAnsi="Arial"/>
          <w:b/>
          <w:bCs/>
          <w:color w:val="1B3A6B"/>
          <w:sz w:val="20"/>
          <w:szCs w:val="20"/>
        </w:rPr>
        <w:t xml:space="preserve">F6.9 — Agent Access Policy</w:t>
      </w:r>
    </w:p>
    <w:p>
      <w:pPr>
        <w:spacing w:before="0" w:after="100"/>
        <w:ind w:left="360"/>
      </w:pPr>
      <w:r>
        <w:rPr>
          <w:rFonts w:ascii="Arial" w:cs="Arial" w:eastAsia="Arial" w:hAnsi="Arial"/>
          <w:color w:val="111827"/>
          <w:sz w:val="20"/>
          <w:szCs w:val="20"/>
        </w:rPr>
        <w:t xml:space="preserve">The governance layer shall configure agent access policy defining: which trust classifications may access which data classifications, under what conditions, and with what mandatory constraints.</w:t>
      </w:r>
    </w:p>
    <w:p>
      <w:pPr>
        <w:spacing w:before="160" w:after="60"/>
      </w:pPr>
      <w:r>
        <w:rPr>
          <w:rFonts w:ascii="Arial" w:cs="Arial" w:eastAsia="Arial" w:hAnsi="Arial"/>
          <w:b/>
          <w:bCs/>
          <w:color w:val="1B3A6B"/>
          <w:sz w:val="20"/>
          <w:szCs w:val="20"/>
        </w:rPr>
        <w:t xml:space="preserve">F6.10 — Dynamic Access Evaluation</w:t>
      </w:r>
    </w:p>
    <w:p>
      <w:pPr>
        <w:spacing w:before="0" w:after="100"/>
        <w:ind w:left="360"/>
      </w:pPr>
      <w:r>
        <w:rPr>
          <w:rFonts w:ascii="Arial" w:cs="Arial" w:eastAsia="Arial" w:hAnsi="Arial"/>
          <w:color w:val="111827"/>
          <w:sz w:val="20"/>
          <w:szCs w:val="20"/>
        </w:rPr>
        <w:t xml:space="preserve">Agent access shall be evaluated dynamically at query time — not only at grant time. Before each query execution, the platform shall verify: current valid access grants, access scope compliance, governance policy allowance, and trust classification authorization.</w:t>
      </w:r>
    </w:p>
    <w:p>
      <w:pPr>
        <w:spacing w:before="160" w:after="60"/>
      </w:pPr>
      <w:r>
        <w:rPr>
          <w:rFonts w:ascii="Arial" w:cs="Arial" w:eastAsia="Arial" w:hAnsi="Arial"/>
          <w:b/>
          <w:bCs/>
          <w:color w:val="1B3A6B"/>
          <w:sz w:val="20"/>
          <w:szCs w:val="20"/>
        </w:rPr>
        <w:t xml:space="preserve">F6.11 — Agent Access Anomaly Detection</w:t>
      </w:r>
    </w:p>
    <w:p>
      <w:pPr>
        <w:spacing w:before="0" w:after="100"/>
        <w:ind w:left="360"/>
      </w:pPr>
      <w:r>
        <w:rPr>
          <w:rFonts w:ascii="Arial" w:cs="Arial" w:eastAsia="Arial" w:hAnsi="Arial"/>
          <w:color w:val="111827"/>
          <w:sz w:val="20"/>
          <w:szCs w:val="20"/>
        </w:rPr>
        <w:t xml:space="preserve">The platform shall detect anomalous agent behavior: query volume spikes, access outside normal patterns, unusual cross-product traversal, and rapid repeated access to high-classification products. Anomalies shall trigger automatic escalation to the human oversight contact and, above configurable thresholds, automatic suspension pending review.</w:t>
      </w:r>
    </w:p>
    <w:p>
      <w:pPr>
        <w:pStyle w:val="Heading3"/>
        <w:spacing w:before="240" w:after="120"/>
      </w:pPr>
      <w:r>
        <w:rPr>
          <w:rFonts w:ascii="Arial" w:cs="Arial" w:eastAsia="Arial" w:hAnsi="Arial"/>
          <w:b/>
          <w:bCs/>
          <w:color w:val="00A9A5"/>
          <w:sz w:val="22"/>
          <w:szCs w:val="22"/>
        </w:rPr>
        <w:t xml:space="preserve">Federated Query Layer</w:t>
      </w:r>
    </w:p>
    <w:p>
      <w:pPr>
        <w:spacing w:before="160" w:after="60"/>
      </w:pPr>
      <w:r>
        <w:rPr>
          <w:rFonts w:ascii="Arial" w:cs="Arial" w:eastAsia="Arial" w:hAnsi="Arial"/>
          <w:b/>
          <w:bCs/>
          <w:color w:val="1B3A6B"/>
          <w:sz w:val="20"/>
          <w:szCs w:val="20"/>
        </w:rPr>
        <w:t xml:space="preserve">F6.12 — Semantic Query Interface</w:t>
      </w:r>
    </w:p>
    <w:p>
      <w:pPr>
        <w:spacing w:before="0" w:after="100"/>
        <w:ind w:left="360"/>
      </w:pPr>
      <w:r>
        <w:rPr>
          <w:rFonts w:ascii="Arial" w:cs="Arial" w:eastAsia="Arial" w:hAnsi="Arial"/>
          <w:color w:val="111827"/>
          <w:sz w:val="20"/>
          <w:szCs w:val="20"/>
        </w:rPr>
        <w:t xml:space="preserve">The platform shall provide a federated semantic query interface presenting the authorized portion of the data mesh as a single logical data surface. Agents interact through a query protocol designed for machine consumption, abstracting away the distributed mesh topology.</w:t>
      </w:r>
    </w:p>
    <w:p>
      <w:pPr>
        <w:spacing w:before="160" w:after="60"/>
      </w:pPr>
      <w:r>
        <w:rPr>
          <w:rFonts w:ascii="Arial" w:cs="Arial" w:eastAsia="Arial" w:hAnsi="Arial"/>
          <w:b/>
          <w:bCs/>
          <w:color w:val="1B3A6B"/>
          <w:sz w:val="20"/>
          <w:szCs w:val="20"/>
        </w:rPr>
        <w:t xml:space="preserve">F6.13 — Query Protocol</w:t>
      </w:r>
    </w:p>
    <w:p>
      <w:pPr>
        <w:spacing w:before="0" w:after="100"/>
        <w:ind w:left="360"/>
      </w:pPr>
      <w:r>
        <w:rPr>
          <w:rFonts w:ascii="Arial" w:cs="Arial" w:eastAsia="Arial" w:hAnsi="Arial"/>
          <w:color w:val="111827"/>
          <w:sz w:val="20"/>
          <w:szCs w:val="20"/>
        </w:rPr>
        <w:t xml:space="preserve">Four surfaces: Natural language query (platform translates to structured queries), Structured semantic query (platform-defined format for precision), GraphQL interface (schema-first exploration and query), and MCP endpoint (compliant MCP server for any MCP-compatible agent framework).</w:t>
      </w:r>
    </w:p>
    <w:p>
      <w:pPr>
        <w:spacing w:before="160" w:after="60"/>
      </w:pPr>
      <w:r>
        <w:rPr>
          <w:rFonts w:ascii="Arial" w:cs="Arial" w:eastAsia="Arial" w:hAnsi="Arial"/>
          <w:b/>
          <w:bCs/>
          <w:color w:val="1B3A6B"/>
          <w:sz w:val="20"/>
          <w:szCs w:val="20"/>
        </w:rPr>
        <w:t xml:space="preserve">F6.14 — MCP Server Compliance</w:t>
      </w:r>
    </w:p>
    <w:p>
      <w:pPr>
        <w:spacing w:before="0" w:after="100"/>
        <w:ind w:left="360"/>
      </w:pPr>
      <w:r>
        <w:rPr>
          <w:rFonts w:ascii="Arial" w:cs="Arial" w:eastAsia="Arial" w:hAnsi="Arial"/>
          <w:color w:val="111827"/>
          <w:sz w:val="20"/>
          <w:szCs w:val="20"/>
        </w:rPr>
        <w:t xml:space="preserve">The platform's MCP endpoint shall be a fully compliant MCP server exposing: Resources (every authorized output port as an MCP resource with schema, metadata, and trust score), Tools (data product search, lineage traversal, observability query, access grant request, semantic query execution), and Prompts (platform-provided templates for common agent data interaction patterns). MCP compliance shall be maintained against the current stable specification.</w:t>
      </w:r>
    </w:p>
    <w:p>
      <w:pPr>
        <w:spacing w:before="160" w:after="60"/>
      </w:pPr>
      <w:r>
        <w:rPr>
          <w:rFonts w:ascii="Arial" w:cs="Arial" w:eastAsia="Arial" w:hAnsi="Arial"/>
          <w:b/>
          <w:bCs/>
          <w:color w:val="1B3A6B"/>
          <w:sz w:val="20"/>
          <w:szCs w:val="20"/>
        </w:rPr>
        <w:t xml:space="preserve">F6.15 — Query Planning</w:t>
      </w:r>
    </w:p>
    <w:p>
      <w:pPr>
        <w:spacing w:before="0" w:after="100"/>
        <w:ind w:left="360"/>
      </w:pPr>
      <w:r>
        <w:rPr>
          <w:rFonts w:ascii="Arial" w:cs="Arial" w:eastAsia="Arial" w:hAnsi="Arial"/>
          <w:color w:val="111827"/>
          <w:sz w:val="20"/>
          <w:szCs w:val="20"/>
        </w:rPr>
        <w:t xml:space="preserve">For natural language and structured semantic queries, the platform shall execute a query planning step: identifying relevant authorized products, evaluating trust scores and compliance states, constructing an execution plan, evaluating access scope and policy compliance, and returning the plan for inspection before execution if the agent prefers.</w:t>
      </w:r>
    </w:p>
    <w:p>
      <w:pPr>
        <w:spacing w:before="160" w:after="60"/>
      </w:pPr>
      <w:r>
        <w:rPr>
          <w:rFonts w:ascii="Arial" w:cs="Arial" w:eastAsia="Arial" w:hAnsi="Arial"/>
          <w:b/>
          <w:bCs/>
          <w:color w:val="1B3A6B"/>
          <w:sz w:val="20"/>
          <w:szCs w:val="20"/>
        </w:rPr>
        <w:t xml:space="preserve">F6.16 — Policy-Aware Query Execution</w:t>
      </w:r>
    </w:p>
    <w:p>
      <w:pPr>
        <w:spacing w:before="0" w:after="100"/>
        <w:ind w:left="360"/>
      </w:pPr>
      <w:r>
        <w:rPr>
          <w:rFonts w:ascii="Arial" w:cs="Arial" w:eastAsia="Arial" w:hAnsi="Arial"/>
          <w:color w:val="111827"/>
          <w:sz w:val="20"/>
          <w:szCs w:val="20"/>
        </w:rPr>
        <w:t xml:space="preserve">Query execution shall enforce governance policy in real time across every product touched. A governance policy violation in any component of a federated query shall halt the entire query execution, returning a structured error identifying the violation.</w:t>
      </w:r>
    </w:p>
    <w:p>
      <w:pPr>
        <w:spacing w:before="160" w:after="60"/>
      </w:pPr>
      <w:r>
        <w:rPr>
          <w:rFonts w:ascii="Arial" w:cs="Arial" w:eastAsia="Arial" w:hAnsi="Arial"/>
          <w:b/>
          <w:bCs/>
          <w:color w:val="1B3A6B"/>
          <w:sz w:val="20"/>
          <w:szCs w:val="20"/>
        </w:rPr>
        <w:t xml:space="preserve">F6.17 — Query Result Provenance</w:t>
      </w:r>
    </w:p>
    <w:p>
      <w:pPr>
        <w:spacing w:before="0" w:after="100"/>
        <w:ind w:left="360"/>
      </w:pPr>
      <w:r>
        <w:rPr>
          <w:rFonts w:ascii="Arial" w:cs="Arial" w:eastAsia="Arial" w:hAnsi="Arial"/>
          <w:color w:val="111827"/>
          <w:sz w:val="20"/>
          <w:szCs w:val="20"/>
        </w:rPr>
        <w:t xml:space="preserve">Every query result shall carry a provenance envelope: contributing product versions, trust scores at time of query, governance policy versions in effect, lineage completeness scores, non-determinism markers, and query execution timestamp. The envelope shall be machine-readable and automatically recorded in the lineage graph.</w:t>
      </w:r>
    </w:p>
    <w:p>
      <w:pPr>
        <w:spacing w:before="160" w:after="60"/>
      </w:pPr>
      <w:r>
        <w:rPr>
          <w:rFonts w:ascii="Arial" w:cs="Arial" w:eastAsia="Arial" w:hAnsi="Arial"/>
          <w:b/>
          <w:bCs/>
          <w:color w:val="1B3A6B"/>
          <w:sz w:val="20"/>
          <w:szCs w:val="20"/>
        </w:rPr>
        <w:t xml:space="preserve">F6.18 — Cross-Product Join Semantics</w:t>
      </w:r>
    </w:p>
    <w:p>
      <w:pPr>
        <w:spacing w:before="0" w:after="100"/>
        <w:ind w:left="360"/>
      </w:pPr>
      <w:r>
        <w:rPr>
          <w:rFonts w:ascii="Arial" w:cs="Arial" w:eastAsia="Arial" w:hAnsi="Arial"/>
          <w:color w:val="111827"/>
          <w:sz w:val="20"/>
          <w:szCs w:val="20"/>
        </w:rPr>
        <w:t xml:space="preserve">Cross-product joins shall: respect all access grants, propagate the highest classification of any joined product to the result, record a lineage event for all contributing products, and enforce that joined data is not cached or persisted without explicit agent-initiated data product publication.</w:t>
      </w:r>
    </w:p>
    <w:p>
      <w:pPr>
        <w:spacing w:before="160" w:after="60"/>
      </w:pPr>
      <w:r>
        <w:rPr>
          <w:rFonts w:ascii="Arial" w:cs="Arial" w:eastAsia="Arial" w:hAnsi="Arial"/>
          <w:b/>
          <w:bCs/>
          <w:color w:val="1B3A6B"/>
          <w:sz w:val="20"/>
          <w:szCs w:val="20"/>
        </w:rPr>
        <w:t xml:space="preserve">F6.19 — Query Rate Limiting</w:t>
      </w:r>
    </w:p>
    <w:p>
      <w:pPr>
        <w:spacing w:before="0" w:after="100"/>
        <w:ind w:left="360"/>
      </w:pPr>
      <w:r>
        <w:rPr>
          <w:rFonts w:ascii="Arial" w:cs="Arial" w:eastAsia="Arial" w:hAnsi="Arial"/>
          <w:color w:val="111827"/>
          <w:sz w:val="20"/>
          <w:szCs w:val="20"/>
        </w:rPr>
        <w:t xml:space="preserve">Per-agent rate limits shall be enforced at the query layer infrastructure level. Agents approaching limits shall receive structured warning responses before hard limiting. Rate limit events shall be recorded in the agent audit trail.</w:t>
      </w:r>
    </w:p>
    <w:p>
      <w:pPr>
        <w:spacing w:before="160" w:after="60"/>
      </w:pPr>
      <w:r>
        <w:rPr>
          <w:rFonts w:ascii="Arial" w:cs="Arial" w:eastAsia="Arial" w:hAnsi="Arial"/>
          <w:b/>
          <w:bCs/>
          <w:color w:val="1B3A6B"/>
          <w:sz w:val="20"/>
          <w:szCs w:val="20"/>
        </w:rPr>
        <w:t xml:space="preserve">F6.20 — Query Result Caching</w:t>
      </w:r>
    </w:p>
    <w:p>
      <w:pPr>
        <w:spacing w:before="0" w:after="100"/>
        <w:ind w:left="360"/>
      </w:pPr>
      <w:r>
        <w:rPr>
          <w:rFonts w:ascii="Arial" w:cs="Arial" w:eastAsia="Arial" w:hAnsi="Arial"/>
          <w:color w:val="111827"/>
          <w:sz w:val="20"/>
          <w:szCs w:val="20"/>
        </w:rPr>
        <w:t xml:space="preserve">The federated query layer shall support result caching within a configurable TTL. Cache invalidation shall occur automatically when any contributing product publishes a new version, updates its schema, or changes compliance state. Cached results shall carry a cache indicator in their provenance envelope.</w:t>
      </w:r>
    </w:p>
    <w:p>
      <w:pPr>
        <w:pStyle w:val="Heading3"/>
        <w:spacing w:before="240" w:after="120"/>
      </w:pPr>
      <w:r>
        <w:rPr>
          <w:rFonts w:ascii="Arial" w:cs="Arial" w:eastAsia="Arial" w:hAnsi="Arial"/>
          <w:b/>
          <w:bCs/>
          <w:color w:val="00A9A5"/>
          <w:sz w:val="22"/>
          <w:szCs w:val="22"/>
        </w:rPr>
        <w:t xml:space="preserve">Agent as Data Product Producer</w:t>
      </w:r>
    </w:p>
    <w:p>
      <w:pPr>
        <w:spacing w:before="160" w:after="60"/>
      </w:pPr>
      <w:r>
        <w:rPr>
          <w:rFonts w:ascii="Arial" w:cs="Arial" w:eastAsia="Arial" w:hAnsi="Arial"/>
          <w:b/>
          <w:bCs/>
          <w:color w:val="1B3A6B"/>
          <w:sz w:val="20"/>
          <w:szCs w:val="20"/>
        </w:rPr>
        <w:t xml:space="preserve">F6.21 — Production-Capable Agent Registration</w:t>
      </w:r>
    </w:p>
    <w:p>
      <w:pPr>
        <w:spacing w:before="0" w:after="100"/>
        <w:ind w:left="360"/>
      </w:pPr>
      <w:r>
        <w:rPr>
          <w:rFonts w:ascii="Arial" w:cs="Arial" w:eastAsia="Arial" w:hAnsi="Arial"/>
          <w:color w:val="111827"/>
          <w:sz w:val="20"/>
          <w:szCs w:val="20"/>
        </w:rPr>
        <w:t xml:space="preserve">Production-capable agents require governance layer acknowledgment, mandatory AI provenance metadata, human review status tracking, and mandatory Observed or Supervised trust classification for the first 90 days of operation.</w:t>
      </w:r>
    </w:p>
    <w:p>
      <w:pPr>
        <w:spacing w:before="160" w:after="60"/>
      </w:pPr>
      <w:r>
        <w:rPr>
          <w:rFonts w:ascii="Arial" w:cs="Arial" w:eastAsia="Arial" w:hAnsi="Arial"/>
          <w:b/>
          <w:bCs/>
          <w:color w:val="1B3A6B"/>
          <w:sz w:val="20"/>
          <w:szCs w:val="20"/>
        </w:rPr>
        <w:t xml:space="preserve">F6.22 — Agent-Produced Data Product Publication</w:t>
      </w:r>
    </w:p>
    <w:p>
      <w:pPr>
        <w:spacing w:before="0" w:after="100"/>
        <w:ind w:left="360"/>
      </w:pPr>
      <w:r>
        <w:rPr>
          <w:rFonts w:ascii="Arial" w:cs="Arial" w:eastAsia="Arial" w:hAnsi="Arial"/>
          <w:color w:val="111827"/>
          <w:sz w:val="20"/>
          <w:szCs w:val="20"/>
        </w:rPr>
        <w:t xml:space="preserve">A production-capable agent shall publish through the same governance compliance pipeline as human-published products, with additional requirements: complete AI provenance metadata, domain team notification, domain team acknowledgment for Observed trust class agents before Draft-to-Published transition, and a permanent indicator that the product was produced by an AI agent.</w:t>
      </w:r>
    </w:p>
    <w:p>
      <w:pPr>
        <w:spacing w:before="160" w:after="60"/>
      </w:pPr>
      <w:r>
        <w:rPr>
          <w:rFonts w:ascii="Arial" w:cs="Arial" w:eastAsia="Arial" w:hAnsi="Arial"/>
          <w:b/>
          <w:bCs/>
          <w:color w:val="1B3A6B"/>
          <w:sz w:val="20"/>
          <w:szCs w:val="20"/>
        </w:rPr>
        <w:t xml:space="preserve">F6.23 — Agent-Produced Product Ownership</w:t>
      </w:r>
    </w:p>
    <w:p>
      <w:pPr>
        <w:spacing w:before="0" w:after="100"/>
        <w:ind w:left="360"/>
      </w:pPr>
      <w:r>
        <w:rPr>
          <w:rFonts w:ascii="Arial" w:cs="Arial" w:eastAsia="Arial" w:hAnsi="Arial"/>
          <w:color w:val="111827"/>
          <w:sz w:val="20"/>
          <w:szCs w:val="20"/>
        </w:rPr>
        <w:t xml:space="preserve">An AI agent shall not be the registered owner of a data product. The owning domain team is always the human owner of record. Domain teams retain full lifecycle authority over agent-produced products.</w:t>
      </w:r>
    </w:p>
    <w:p>
      <w:pPr>
        <w:spacing w:before="160" w:after="60"/>
      </w:pPr>
      <w:r>
        <w:rPr>
          <w:rFonts w:ascii="Arial" w:cs="Arial" w:eastAsia="Arial" w:hAnsi="Arial"/>
          <w:b/>
          <w:bCs/>
          <w:color w:val="1B3A6B"/>
          <w:sz w:val="20"/>
          <w:szCs w:val="20"/>
        </w:rPr>
        <w:t xml:space="preserve">F6.24 — Human Review Workflow</w:t>
      </w:r>
    </w:p>
    <w:p>
      <w:pPr>
        <w:spacing w:before="0" w:after="100"/>
        <w:ind w:left="360"/>
      </w:pPr>
      <w:r>
        <w:rPr>
          <w:rFonts w:ascii="Arial" w:cs="Arial" w:eastAsia="Arial" w:hAnsi="Arial"/>
          <w:color w:val="111827"/>
          <w:sz w:val="20"/>
          <w:szCs w:val="20"/>
        </w:rPr>
        <w:t xml:space="preserve">For Observed trust class agents, a human review workflow shall surface: agent reasoning trace reference, provenance envelope of consumed inputs, proposed product definition, and diff against any prior version. Reviewers may approve, reject with feedback, or request agent revision.</w:t>
      </w:r>
    </w:p>
    <w:p>
      <w:pPr>
        <w:spacing w:before="160" w:after="60"/>
      </w:pPr>
      <w:r>
        <w:rPr>
          <w:rFonts w:ascii="Arial" w:cs="Arial" w:eastAsia="Arial" w:hAnsi="Arial"/>
          <w:b/>
          <w:bCs/>
          <w:color w:val="1B3A6B"/>
          <w:sz w:val="20"/>
          <w:szCs w:val="20"/>
        </w:rPr>
        <w:t xml:space="preserve">F6.25 — Agent Production Audit</w:t>
      </w:r>
    </w:p>
    <w:p>
      <w:pPr>
        <w:spacing w:before="0" w:after="100"/>
        <w:ind w:left="360"/>
      </w:pPr>
      <w:r>
        <w:rPr>
          <w:rFonts w:ascii="Arial" w:cs="Arial" w:eastAsia="Arial" w:hAnsi="Arial"/>
          <w:color w:val="111827"/>
          <w:sz w:val="20"/>
          <w:szCs w:val="20"/>
        </w:rPr>
        <w:t xml:space="preserve">Every production-capable agent publication or modification shall produce a complete, immutable, permanently retained audit record including: agent identity and model version, governance policy version, human oversight contact, review status and reviewer identity, and the full provenance envelope.</w:t>
      </w:r>
    </w:p>
    <w:p>
      <w:pPr>
        <w:pStyle w:val="Heading3"/>
        <w:spacing w:before="240" w:after="120"/>
      </w:pPr>
      <w:r>
        <w:rPr>
          <w:rFonts w:ascii="Arial" w:cs="Arial" w:eastAsia="Arial" w:hAnsi="Arial"/>
          <w:b/>
          <w:bCs/>
          <w:color w:val="00A9A5"/>
          <w:sz w:val="22"/>
          <w:szCs w:val="22"/>
        </w:rPr>
        <w:t xml:space="preserve">Agent Discovery and Mesh Navigation</w:t>
      </w:r>
    </w:p>
    <w:p>
      <w:pPr>
        <w:spacing w:before="160" w:after="60"/>
      </w:pPr>
      <w:r>
        <w:rPr>
          <w:rFonts w:ascii="Arial" w:cs="Arial" w:eastAsia="Arial" w:hAnsi="Arial"/>
          <w:b/>
          <w:bCs/>
          <w:color w:val="1B3A6B"/>
          <w:sz w:val="20"/>
          <w:szCs w:val="20"/>
        </w:rPr>
        <w:t xml:space="preserve">F6.26 — Semantic Data Product Discovery</w:t>
      </w:r>
    </w:p>
    <w:p>
      <w:pPr>
        <w:spacing w:before="0" w:after="100"/>
        <w:ind w:left="360"/>
      </w:pPr>
      <w:r>
        <w:rPr>
          <w:rFonts w:ascii="Arial" w:cs="Arial" w:eastAsia="Arial" w:hAnsi="Arial"/>
          <w:color w:val="111827"/>
          <w:sz w:val="20"/>
          <w:szCs w:val="20"/>
        </w:rPr>
        <w:t xml:space="preserve">Agents shall discover data products through semantic search — querying by describing needed data in natural language or structured semantic terms. The platform shall maintain a semantic index of all published products built from discovery port metadata, schema, and lineage context. Results shall be ranked by trust score, relevance, and compliance state.</w:t>
      </w:r>
    </w:p>
    <w:p>
      <w:pPr>
        <w:spacing w:before="160" w:after="60"/>
      </w:pPr>
      <w:r>
        <w:rPr>
          <w:rFonts w:ascii="Arial" w:cs="Arial" w:eastAsia="Arial" w:hAnsi="Arial"/>
          <w:b/>
          <w:bCs/>
          <w:color w:val="1B3A6B"/>
          <w:sz w:val="20"/>
          <w:szCs w:val="20"/>
        </w:rPr>
        <w:t xml:space="preserve">F6.27 — Schema Exploration</w:t>
      </w:r>
    </w:p>
    <w:p>
      <w:pPr>
        <w:spacing w:before="0" w:after="100"/>
        <w:ind w:left="360"/>
      </w:pPr>
      <w:r>
        <w:rPr>
          <w:rFonts w:ascii="Arial" w:cs="Arial" w:eastAsia="Arial" w:hAnsi="Arial"/>
          <w:color w:val="111827"/>
          <w:sz w:val="20"/>
          <w:szCs w:val="20"/>
        </w:rPr>
        <w:t xml:space="preserve">Agents shall programmatically explore the schema of any authorized output port — retrieving field definitions, types, sample value ranges where permitted by classification, and semantic annotations. Schema exploration shall be available without executing a data query.</w:t>
      </w:r>
    </w:p>
    <w:p>
      <w:pPr>
        <w:spacing w:before="160" w:after="60"/>
      </w:pPr>
      <w:r>
        <w:rPr>
          <w:rFonts w:ascii="Arial" w:cs="Arial" w:eastAsia="Arial" w:hAnsi="Arial"/>
          <w:b/>
          <w:bCs/>
          <w:color w:val="1B3A6B"/>
          <w:sz w:val="20"/>
          <w:szCs w:val="20"/>
        </w:rPr>
        <w:t xml:space="preserve">F6.28 — Semantic Annotation</w:t>
      </w:r>
    </w:p>
    <w:p>
      <w:pPr>
        <w:spacing w:before="0" w:after="100"/>
        <w:ind w:left="360"/>
      </w:pPr>
      <w:r>
        <w:rPr>
          <w:rFonts w:ascii="Arial" w:cs="Arial" w:eastAsia="Arial" w:hAnsi="Arial"/>
          <w:color w:val="111827"/>
          <w:sz w:val="20"/>
          <w:szCs w:val="20"/>
        </w:rPr>
        <w:t xml:space="preserve">Domain teams shall add semantic annotations to product schemas — plain-language descriptions of field meaning, business concept relationships, and answerable questions. Annotations shall be indexed for agent discovery. Governance policy shall mandate minimum annotation coverage for products available to agent consumption.</w:t>
      </w:r>
    </w:p>
    <w:p>
      <w:pPr>
        <w:spacing w:before="160" w:after="60"/>
      </w:pPr>
      <w:r>
        <w:rPr>
          <w:rFonts w:ascii="Arial" w:cs="Arial" w:eastAsia="Arial" w:hAnsi="Arial"/>
          <w:b/>
          <w:bCs/>
          <w:color w:val="1B3A6B"/>
          <w:sz w:val="20"/>
          <w:szCs w:val="20"/>
        </w:rPr>
        <w:t xml:space="preserve">F6.29 — Lineage-Aware Recommendation</w:t>
      </w:r>
    </w:p>
    <w:p>
      <w:pPr>
        <w:spacing w:before="0" w:after="100"/>
        <w:ind w:left="360"/>
      </w:pPr>
      <w:r>
        <w:rPr>
          <w:rFonts w:ascii="Arial" w:cs="Arial" w:eastAsia="Arial" w:hAnsi="Arial"/>
          <w:color w:val="111827"/>
          <w:sz w:val="20"/>
          <w:szCs w:val="20"/>
        </w:rPr>
        <w:t xml:space="preserve">The federated query layer shall provide agents with lineage-aware product recommendations — suggesting related products, upstream sources, and downstream consumers — surfacing trust scores, compliance states, and semantic similarity scores.</w:t>
      </w:r>
    </w:p>
    <w:p>
      <w:pPr>
        <w:spacing w:before="160" w:after="60"/>
      </w:pPr>
      <w:r>
        <w:rPr>
          <w:rFonts w:ascii="Arial" w:cs="Arial" w:eastAsia="Arial" w:hAnsi="Arial"/>
          <w:b/>
          <w:bCs/>
          <w:color w:val="1B3A6B"/>
          <w:sz w:val="20"/>
          <w:szCs w:val="20"/>
        </w:rPr>
        <w:t xml:space="preserve">F6.30 — Version-Aware Consumption</w:t>
      </w:r>
    </w:p>
    <w:p>
      <w:pPr>
        <w:spacing w:before="0" w:after="100"/>
        <w:ind w:left="360"/>
      </w:pPr>
      <w:r>
        <w:rPr>
          <w:rFonts w:ascii="Arial" w:cs="Arial" w:eastAsia="Arial" w:hAnsi="Arial"/>
          <w:color w:val="111827"/>
          <w:sz w:val="20"/>
          <w:szCs w:val="20"/>
        </w:rPr>
        <w:t xml:space="preserve">Agents shall be version-aware consumers. Semantic change declarations (F2.18) shall be surfaced as structured, machine-readable metadata. The platform shall provide a structured version compatibility assessment API that agents query to determine whether their current consumption pattern is compatible with a new product version.</w:t>
      </w:r>
    </w:p>
    <w:p>
      <w:pPr>
        <w:pStyle w:val="Heading2"/>
        <w:spacing w:before="320" w:after="160"/>
      </w:pPr>
      <w:r>
        <w:rPr>
          <w:rFonts w:ascii="Arial" w:cs="Arial" w:eastAsia="Arial" w:hAnsi="Arial"/>
          <w:b/>
          <w:bCs/>
          <w:color w:val="2E75B6"/>
          <w:sz w:val="26"/>
          <w:szCs w:val="26"/>
        </w:rPr>
        <w:t xml:space="preserve">Non-Functional Requirements</w:t>
      </w:r>
    </w:p>
    <w:p>
      <w:pPr>
        <w:spacing w:before="160" w:after="60"/>
      </w:pPr>
      <w:r>
        <w:rPr>
          <w:rFonts w:ascii="Arial" w:cs="Arial" w:eastAsia="Arial" w:hAnsi="Arial"/>
          <w:b/>
          <w:bCs/>
          <w:color w:val="2E75B6"/>
          <w:sz w:val="20"/>
          <w:szCs w:val="20"/>
        </w:rPr>
        <w:t xml:space="preserve">NF6.1 — Federated Query Latency</w:t>
      </w:r>
    </w:p>
    <w:p>
      <w:pPr>
        <w:spacing w:before="0" w:after="100"/>
        <w:ind w:left="360"/>
      </w:pPr>
      <w:r>
        <w:rPr>
          <w:rFonts w:ascii="Arial" w:cs="Arial" w:eastAsia="Arial" w:hAnsi="Arial"/>
          <w:color w:val="111827"/>
          <w:sz w:val="20"/>
          <w:szCs w:val="20"/>
        </w:rPr>
        <w:t xml:space="preserve">Single-product semantic queries: under 2 seconds p95. Cross-product queries touching up to 10 products: under 10 seconds p95. Query planning: under 500ms for all query types.</w:t>
      </w:r>
    </w:p>
    <w:p>
      <w:pPr>
        <w:spacing w:before="160" w:after="60"/>
      </w:pPr>
      <w:r>
        <w:rPr>
          <w:rFonts w:ascii="Arial" w:cs="Arial" w:eastAsia="Arial" w:hAnsi="Arial"/>
          <w:b/>
          <w:bCs/>
          <w:color w:val="2E75B6"/>
          <w:sz w:val="20"/>
          <w:szCs w:val="20"/>
        </w:rPr>
        <w:t xml:space="preserve">NF6.2 — MCP Endpoint Availability</w:t>
      </w:r>
    </w:p>
    <w:p>
      <w:pPr>
        <w:spacing w:before="0" w:after="100"/>
        <w:ind w:left="360"/>
      </w:pPr>
      <w:r>
        <w:rPr>
          <w:rFonts w:ascii="Arial" w:cs="Arial" w:eastAsia="Arial" w:hAnsi="Arial"/>
          <w:color w:val="111827"/>
          <w:sz w:val="20"/>
          <w:szCs w:val="20"/>
        </w:rPr>
        <w:t xml:space="preserve">The MCP server endpoint shall maintain 99.99% availability independently of the broader platform control plane.</w:t>
      </w:r>
    </w:p>
    <w:p>
      <w:pPr>
        <w:spacing w:before="160" w:after="60"/>
      </w:pPr>
      <w:r>
        <w:rPr>
          <w:rFonts w:ascii="Arial" w:cs="Arial" w:eastAsia="Arial" w:hAnsi="Arial"/>
          <w:b/>
          <w:bCs/>
          <w:color w:val="2E75B6"/>
          <w:sz w:val="20"/>
          <w:szCs w:val="20"/>
        </w:rPr>
        <w:t xml:space="preserve">NF6.3 — Concurrent Agent Query Throughput</w:t>
      </w:r>
    </w:p>
    <w:p>
      <w:pPr>
        <w:spacing w:before="0" w:after="100"/>
        <w:ind w:left="360"/>
      </w:pPr>
      <w:r>
        <w:rPr>
          <w:rFonts w:ascii="Arial" w:cs="Arial" w:eastAsia="Arial" w:hAnsi="Arial"/>
          <w:color w:val="111827"/>
          <w:sz w:val="20"/>
          <w:szCs w:val="20"/>
        </w:rPr>
        <w:t xml:space="preserve">A minimum of 10,000 concurrent agent query sessions per organization without throughput degradation.</w:t>
      </w:r>
    </w:p>
    <w:p>
      <w:pPr>
        <w:spacing w:before="160" w:after="60"/>
      </w:pPr>
      <w:r>
        <w:rPr>
          <w:rFonts w:ascii="Arial" w:cs="Arial" w:eastAsia="Arial" w:hAnsi="Arial"/>
          <w:b/>
          <w:bCs/>
          <w:color w:val="2E75B6"/>
          <w:sz w:val="20"/>
          <w:szCs w:val="20"/>
        </w:rPr>
        <w:t xml:space="preserve">NF6.4 — Policy Evaluation Overhead</w:t>
      </w:r>
    </w:p>
    <w:p>
      <w:pPr>
        <w:spacing w:before="0" w:after="100"/>
        <w:ind w:left="360"/>
      </w:pPr>
      <w:r>
        <w:rPr>
          <w:rFonts w:ascii="Arial" w:cs="Arial" w:eastAsia="Arial" w:hAnsi="Arial"/>
          <w:color w:val="111827"/>
          <w:sz w:val="20"/>
          <w:szCs w:val="20"/>
        </w:rPr>
        <w:t xml:space="preserve">Real-time governance policy evaluation during federated query execution shall add no more than 200ms overhead at the 99th percentile.</w:t>
      </w:r>
    </w:p>
    <w:p>
      <w:pPr>
        <w:spacing w:before="160" w:after="60"/>
      </w:pPr>
      <w:r>
        <w:rPr>
          <w:rFonts w:ascii="Arial" w:cs="Arial" w:eastAsia="Arial" w:hAnsi="Arial"/>
          <w:b/>
          <w:bCs/>
          <w:color w:val="2E75B6"/>
          <w:sz w:val="20"/>
          <w:szCs w:val="20"/>
        </w:rPr>
        <w:t xml:space="preserve">NF6.5 — Semantic Index Freshness</w:t>
      </w:r>
    </w:p>
    <w:p>
      <w:pPr>
        <w:spacing w:before="0" w:after="100"/>
        <w:ind w:left="360"/>
      </w:pPr>
      <w:r>
        <w:rPr>
          <w:rFonts w:ascii="Arial" w:cs="Arial" w:eastAsia="Arial" w:hAnsi="Arial"/>
          <w:color w:val="111827"/>
          <w:sz w:val="20"/>
          <w:szCs w:val="20"/>
        </w:rPr>
        <w:t xml:space="preserve">The semantic index shall reflect newly published or updated products within 5 minutes of publication.</w:t>
      </w:r>
    </w:p>
    <w:p>
      <w:pPr>
        <w:spacing w:before="160" w:after="60"/>
      </w:pPr>
      <w:r>
        <w:rPr>
          <w:rFonts w:ascii="Arial" w:cs="Arial" w:eastAsia="Arial" w:hAnsi="Arial"/>
          <w:b/>
          <w:bCs/>
          <w:color w:val="2E75B6"/>
          <w:sz w:val="20"/>
          <w:szCs w:val="20"/>
        </w:rPr>
        <w:t xml:space="preserve">NF6.6 — Agent Identity Isolation</w:t>
      </w:r>
    </w:p>
    <w:p>
      <w:pPr>
        <w:spacing w:before="0" w:after="100"/>
        <w:ind w:left="360"/>
      </w:pPr>
      <w:r>
        <w:rPr>
          <w:rFonts w:ascii="Arial" w:cs="Arial" w:eastAsia="Arial" w:hAnsi="Arial"/>
          <w:color w:val="111827"/>
          <w:sz w:val="20"/>
          <w:szCs w:val="20"/>
        </w:rPr>
        <w:t xml:space="preserve">Compromise of one agent identity's credentials shall not provide access to any other agent identity's grants, query history, or audit trail.</w:t>
      </w:r>
    </w:p>
    <w:p>
      <w:pPr>
        <w:spacing w:before="160" w:after="60"/>
      </w:pPr>
      <w:r>
        <w:rPr>
          <w:rFonts w:ascii="Arial" w:cs="Arial" w:eastAsia="Arial" w:hAnsi="Arial"/>
          <w:b/>
          <w:bCs/>
          <w:color w:val="2E75B6"/>
          <w:sz w:val="20"/>
          <w:szCs w:val="20"/>
        </w:rPr>
        <w:t xml:space="preserve">NF6.7 — Anomaly Detection Latency</w:t>
      </w:r>
    </w:p>
    <w:p>
      <w:pPr>
        <w:spacing w:before="0" w:after="100"/>
        <w:ind w:left="360"/>
      </w:pPr>
      <w:r>
        <w:rPr>
          <w:rFonts w:ascii="Arial" w:cs="Arial" w:eastAsia="Arial" w:hAnsi="Arial"/>
          <w:color w:val="111827"/>
          <w:sz w:val="20"/>
          <w:szCs w:val="20"/>
        </w:rPr>
        <w:t xml:space="preserve">Agent access anomaly detection shall identify and escalate anomalous behavior within 60 seconds of the anomalous event.</w:t>
      </w:r>
    </w:p>
    <w:p>
      <w:pPr>
        <w:spacing w:before="160" w:after="60"/>
      </w:pPr>
      <w:r>
        <w:rPr>
          <w:rFonts w:ascii="Arial" w:cs="Arial" w:eastAsia="Arial" w:hAnsi="Arial"/>
          <w:b/>
          <w:bCs/>
          <w:color w:val="2E75B6"/>
          <w:sz w:val="20"/>
          <w:szCs w:val="20"/>
        </w:rPr>
        <w:t xml:space="preserve">NF6.8 — MCP Specification Currency</w:t>
      </w:r>
    </w:p>
    <w:p>
      <w:pPr>
        <w:spacing w:before="0" w:after="100"/>
        <w:ind w:left="360"/>
      </w:pPr>
      <w:r>
        <w:rPr>
          <w:rFonts w:ascii="Arial" w:cs="Arial" w:eastAsia="Arial" w:hAnsi="Arial"/>
          <w:color w:val="111827"/>
          <w:sz w:val="20"/>
          <w:szCs w:val="20"/>
        </w:rPr>
        <w:t xml:space="preserve">The platform's MCP endpoint shall be updated to maintain compliance with new stable MCP specification versions within 60 days of their publication.</w:t>
      </w:r>
    </w:p>
    <w:p>
      <w:pPr>
        <w:pStyle w:val="Heading2"/>
        <w:spacing w:before="320" w:after="160"/>
      </w:pPr>
      <w:r>
        <w:rPr>
          <w:rFonts w:ascii="Arial" w:cs="Arial" w:eastAsia="Arial" w:hAnsi="Arial"/>
          <w:b/>
          <w:bCs/>
          <w:color w:val="2E75B6"/>
          <w:sz w:val="26"/>
          <w:szCs w:val="26"/>
        </w:rPr>
        <w:t xml:space="preserve">Out of Scope</w:t>
      </w:r>
    </w:p>
    <w:p>
      <w:pPr>
        <w:spacing w:before="80" w:after="80"/>
        <w:ind w:left="360"/>
      </w:pPr>
      <w:r>
        <w:rPr>
          <w:rFonts w:ascii="Courier New" w:cs="Courier New" w:eastAsia="Courier New" w:hAnsi="Courier New"/>
          <w:b/>
          <w:bCs/>
          <w:color w:val="EF4444"/>
          <w:sz w:val="18"/>
          <w:szCs w:val="18"/>
        </w:rPr>
        <w:t xml:space="preserve">OS6.1  </w:t>
      </w:r>
      <w:r>
        <w:rPr>
          <w:rFonts w:ascii="Arial" w:cs="Arial" w:eastAsia="Arial" w:hAnsi="Arial"/>
          <w:color w:val="111827"/>
          <w:sz w:val="20"/>
          <w:szCs w:val="20"/>
        </w:rPr>
        <w:t xml:space="preserve">Agent development environment, hosting, or orchestration. The platform is the data mesh interface for agents; agents are built and hosted externally.</w:t>
      </w:r>
    </w:p>
    <w:p>
      <w:pPr>
        <w:spacing w:before="80" w:after="80"/>
        <w:ind w:left="360"/>
      </w:pPr>
      <w:r>
        <w:rPr>
          <w:rFonts w:ascii="Courier New" w:cs="Courier New" w:eastAsia="Courier New" w:hAnsi="Courier New"/>
          <w:b/>
          <w:bCs/>
          <w:color w:val="EF4444"/>
          <w:sz w:val="18"/>
          <w:szCs w:val="18"/>
        </w:rPr>
        <w:t xml:space="preserve">OS6.2  </w:t>
      </w:r>
      <w:r>
        <w:rPr>
          <w:rFonts w:ascii="Arial" w:cs="Arial" w:eastAsia="Arial" w:hAnsi="Arial"/>
          <w:color w:val="111827"/>
          <w:sz w:val="20"/>
          <w:szCs w:val="20"/>
        </w:rPr>
        <w:t xml:space="preserve">Evaluation of agent reasoning quality or output correctness. Human oversight and trust classification are the governance mechanisms.</w:t>
      </w:r>
    </w:p>
    <w:p>
      <w:pPr>
        <w:spacing w:before="80" w:after="80"/>
        <w:ind w:left="360"/>
      </w:pPr>
      <w:r>
        <w:rPr>
          <w:rFonts w:ascii="Courier New" w:cs="Courier New" w:eastAsia="Courier New" w:hAnsi="Courier New"/>
          <w:b/>
          <w:bCs/>
          <w:color w:val="EF4444"/>
          <w:sz w:val="18"/>
          <w:szCs w:val="18"/>
        </w:rPr>
        <w:t xml:space="preserve">OS6.3  </w:t>
      </w:r>
      <w:r>
        <w:rPr>
          <w:rFonts w:ascii="Arial" w:cs="Arial" w:eastAsia="Arial" w:hAnsi="Arial"/>
          <w:color w:val="111827"/>
          <w:sz w:val="20"/>
          <w:szCs w:val="20"/>
        </w:rPr>
        <w:t xml:space="preserve">Native multi-agent orchestration patterns. Agents interact with the platform independently.</w:t>
      </w:r>
    </w:p>
    <w:p>
      <w:pPr>
        <w:spacing w:before="80" w:after="80"/>
        <w:ind w:left="360"/>
      </w:pPr>
      <w:r>
        <w:rPr>
          <w:rFonts w:ascii="Courier New" w:cs="Courier New" w:eastAsia="Courier New" w:hAnsi="Courier New"/>
          <w:b/>
          <w:bCs/>
          <w:color w:val="EF4444"/>
          <w:sz w:val="18"/>
          <w:szCs w:val="18"/>
        </w:rPr>
        <w:t xml:space="preserve">OS6.4  </w:t>
      </w:r>
      <w:r>
        <w:rPr>
          <w:rFonts w:ascii="Arial" w:cs="Arial" w:eastAsia="Arial" w:hAnsi="Arial"/>
          <w:color w:val="111827"/>
          <w:sz w:val="20"/>
          <w:szCs w:val="20"/>
        </w:rPr>
        <w:t xml:space="preserve">[POST-MVP] Natural language query precision improvement — best-effort at MVP. Structured semantic query and GraphQL are the reliable precision alternatives.</w:t>
      </w:r>
    </w:p>
    <w:p>
      <w:pPr>
        <w:spacing w:before="80" w:after="80"/>
        <w:ind w:left="360"/>
      </w:pPr>
      <w:r>
        <w:rPr>
          <w:rFonts w:ascii="Courier New" w:cs="Courier New" w:eastAsia="Courier New" w:hAnsi="Courier New"/>
          <w:b/>
          <w:bCs/>
          <w:color w:val="EF4444"/>
          <w:sz w:val="18"/>
          <w:szCs w:val="18"/>
        </w:rPr>
        <w:t xml:space="preserve">OS6.5  </w:t>
      </w:r>
      <w:r>
        <w:rPr>
          <w:rFonts w:ascii="Arial" w:cs="Arial" w:eastAsia="Arial" w:hAnsi="Arial"/>
          <w:color w:val="111827"/>
          <w:sz w:val="20"/>
          <w:szCs w:val="20"/>
        </w:rPr>
        <w:t xml:space="preserve">Reasoning trace content storage. Reasoning trace references are pointers to externally managed trace stores; the platform records that a trace exists and where it is stored, not its content.</w:t>
      </w:r>
    </w:p>
    <w:p>
      <w:pPr>
        <w:spacing w:before="80" w:after="80"/>
        <w:ind w:left="360"/>
      </w:pPr>
      <w:r>
        <w:rPr>
          <w:rFonts w:ascii="Courier New" w:cs="Courier New" w:eastAsia="Courier New" w:hAnsi="Courier New"/>
          <w:b/>
          <w:bCs/>
          <w:color w:val="EF4444"/>
          <w:sz w:val="18"/>
          <w:szCs w:val="18"/>
        </w:rPr>
        <w:t xml:space="preserve">OS6.6  </w:t>
      </w:r>
      <w:r>
        <w:rPr>
          <w:rFonts w:ascii="Arial" w:cs="Arial" w:eastAsia="Arial" w:hAnsi="Arial"/>
          <w:color w:val="111827"/>
          <w:sz w:val="20"/>
          <w:szCs w:val="20"/>
        </w:rPr>
        <w:t xml:space="preserve">[POST-MVP] Agent financial metering and chargeback. Usage metrics are captured in the audit trail as a foundation for post-MVP chargeback.</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Domain 6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identity as distinct principal type with model-specific attributes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identity registration with governance acknowledgment for production-capable agents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trust classification: Observed, Supervised, Autonomous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identity lifecycle — never deleted, permanently retired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Model version binding — model change triggers re-registration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Mandatory human oversight contact per agent identity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access grants with rate limits, expiration, and production obligations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access scope enforcement at infrastructure level</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access policy configured by governance layer</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F6.10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Dynamic per-query access evaluation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F6.11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anomaly detection with automatic escalation and suspension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F6.12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Semantic query interface — authorized mesh as single logical surface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F6.13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Four query protocol surfaces: natural language, structured, GraphQL, MCP</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F6.14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Full MCP server compliance — resources, tools, prompts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F6.15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Query planning with inspection option before execution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F6.16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Policy-aware query execution — real-time across all touched products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F6.17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Query result provenance envelope — machine-readable, auto-recorded in lineage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F6.18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Cross-product join semantics with classification propagation and lineage capture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F6.19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Per-agent rate limiting at infrastructure level with warning responses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F6.20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Query result caching with automatic invalidation on product changes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F6.21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Production-capable agent registration with mandatory 90-day supervised period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F6.22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Agent-produced product publication through standard governance pipeline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F6.23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Human domain team always owner of agent-produced products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F6.24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Human review workflow for Observed trust class agent productions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F6.25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Immutable production audit record — permanently retained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F6.26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Semantic data product discovery — natural language and structured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F6.27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Programmatic schema exploration without data query</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F6.28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Semantic annotations on schemas — governance-mandatable coverage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F6.29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Lineage-aware data product recommendations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F6.30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Version-aware consumption with compatibility assessment API</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NF6.1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Single-product query under 2s p95; 10-product query under 10s p95</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NF6.2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MCP endpoint 99.99% availability independent of control plane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NF6.3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10,000 concurrent agent query sessions per org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NF6.4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 evaluation overhead under 200ms p99</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NF6.5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Semantic index reflects new products within 5 minutes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NF6.6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identity isolation at infrastructure level</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NF6.7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Anomaly detection escalation within 60 seconds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NF6.8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MCP spec compliance within 60 days of new stable version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OS6.1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development, hosting, orchestration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OS6.2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reasoning quality evaluation or output validation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OS6.3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Native multi-agent orchestration patterns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OS6.4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Natural language query precision improvement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OS6.5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Reasoning trace content storage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OS6.6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financial metering and chargeback</w:t>
            </w:r>
          </w:p>
        </w:tc>
      </w:tr>
    </w:tbl>
    <w:p>
      <w:pPr>
        <w:spacing w:before="0" w:after="60"/>
      </w:pPr>
      <w:r>
        <w:rPr>
          <w:rFonts w:ascii="Arial" w:cs="Arial" w:eastAsia="Arial" w:hAnsi="Arial"/>
          <w:b/>
          <w:bCs/>
          <w:color w:val="00A9A5"/>
          <w:sz w:val="20"/>
          <w:szCs w:val="20"/>
        </w:rPr>
        <w:t xml:space="preserve">Domain 7</w:t>
      </w:r>
    </w:p>
    <w:p>
      <w:pPr>
        <w:pStyle w:val="Heading1"/>
        <w:pageBreakBefore/>
        <w:spacing w:before="0" w:after="180"/>
      </w:pPr>
      <w:r>
        <w:rPr>
          <w:rFonts w:ascii="Arial" w:cs="Arial" w:eastAsia="Arial" w:hAnsi="Arial"/>
          <w:b/>
          <w:bCs/>
          <w:color w:val="1B3A6B"/>
          <w:sz w:val="36"/>
          <w:szCs w:val="36"/>
        </w:rPr>
        <w:t xml:space="preserve">Self-Service Experience</w:t>
      </w:r>
    </w:p>
    <w:p>
      <w:pPr>
        <w:spacing w:before="0" w:after="240"/>
      </w:pPr>
      <w:r>
        <w:rPr>
          <w:rFonts w:ascii="Arial" w:cs="Arial" w:eastAsia="Arial" w:hAnsi="Arial"/>
          <w:i/>
          <w:iCs/>
          <w:color w:val="6B7280"/>
          <w:sz w:val="20"/>
          <w:szCs w:val="20"/>
        </w:rPr>
        <w:t xml:space="preserve">The platform made visible. Every architectural decision, governance rule, lineage record, and agent interaction surfaces through this layer. Organized around capability areas with explicit persona callouts throughout.</w:t>
      </w:r>
    </w:p>
    <w:p>
      <w:pPr>
        <w:pBdr>
          <w:bottom w:val="single" w:color="2E75B6" w:sz="6" w:space="1"/>
        </w:pBdr>
        <w:spacing w:before="160" w:after="160"/>
      </w:pPr>
      <w:r>
        <w:t xml:space="preserve"/>
      </w:r>
    </w:p>
    <w:p>
      <w:pPr>
        <w:spacing w:before="60" w:after="80"/>
      </w:pPr>
      <w:r>
        <w:rPr>
          <w:rFonts w:ascii="Arial" w:cs="Arial" w:eastAsia="Arial" w:hAnsi="Arial"/>
          <w:i/>
          <w:iCs/>
          <w:color w:val="6B7280"/>
          <w:sz w:val="20"/>
          <w:szCs w:val="20"/>
        </w:rPr>
        <w:t xml:space="preserve">Organizing principle: the right thing is the easy thing for every persona. The UI will be judged by whether a domain team can publish their first product without reading a manual, whether a governance team member can configure meaningful policy without engineering knowledge, and whether a consumer can find and trust a data product in under five minutes.</w:t>
      </w:r>
    </w:p>
    <w:p>
      <w:pPr>
        <w:spacing w:before="120" w:after="120"/>
      </w:pPr>
      <w:r>
        <w:t xml:space="preserve"/>
      </w:r>
    </w:p>
    <w:p>
      <w:pPr>
        <w:pStyle w:val="Heading3"/>
        <w:spacing w:before="240" w:after="120"/>
      </w:pPr>
      <w:r>
        <w:rPr>
          <w:rFonts w:ascii="Arial" w:cs="Arial" w:eastAsia="Arial" w:hAnsi="Arial"/>
          <w:b/>
          <w:bCs/>
          <w:color w:val="00A9A5"/>
          <w:sz w:val="22"/>
          <w:szCs w:val="22"/>
        </w:rPr>
        <w:t xml:space="preserve">Platform Shell and Navigation</w:t>
      </w:r>
    </w:p>
    <w:p>
      <w:pPr>
        <w:spacing w:before="160" w:after="60"/>
      </w:pPr>
      <w:r>
        <w:rPr>
          <w:rFonts w:ascii="Arial" w:cs="Arial" w:eastAsia="Arial" w:hAnsi="Arial"/>
          <w:b/>
          <w:bCs/>
          <w:color w:val="1B3A6B"/>
          <w:sz w:val="20"/>
          <w:szCs w:val="20"/>
        </w:rPr>
        <w:t xml:space="preserve">F7.1 — Unified Platform Shell</w:t>
      </w:r>
    </w:p>
    <w:p>
      <w:pPr>
        <w:spacing w:before="0" w:after="100"/>
        <w:ind w:left="360"/>
      </w:pPr>
      <w:r>
        <w:rPr>
          <w:rFonts w:ascii="Arial" w:cs="Arial" w:eastAsia="Arial" w:hAnsi="Arial"/>
          <w:color w:val="111827"/>
          <w:sz w:val="20"/>
          <w:szCs w:val="20"/>
        </w:rPr>
        <w:t xml:space="preserve">Single unified web application. The shell adapts navigation and available actions based on the authenticated principal's role. Governance team members and domain team members share the same URL but see meaningfully different primary navigation and capability surfaces.</w:t>
      </w:r>
    </w:p>
    <w:p>
      <w:pPr>
        <w:spacing w:before="160" w:after="60"/>
      </w:pPr>
      <w:r>
        <w:rPr>
          <w:rFonts w:ascii="Arial" w:cs="Arial" w:eastAsia="Arial" w:hAnsi="Arial"/>
          <w:b/>
          <w:bCs/>
          <w:color w:val="1B3A6B"/>
          <w:sz w:val="20"/>
          <w:szCs w:val="20"/>
        </w:rPr>
        <w:t xml:space="preserve">F7.2 — Persona-Adaptive Navigation</w:t>
      </w:r>
    </w:p>
    <w:p>
      <w:pPr>
        <w:spacing w:before="0" w:after="100"/>
        <w:ind w:left="360"/>
      </w:pPr>
      <w:r>
        <w:rPr>
          <w:rFonts w:ascii="Arial" w:cs="Arial" w:eastAsia="Arial" w:hAnsi="Arial"/>
          <w:color w:val="111827"/>
          <w:sz w:val="20"/>
          <w:szCs w:val="20"/>
        </w:rPr>
        <w:t xml:space="preserve">Primary navigation dynamically composed based on principal roles. Navigation items reflect only capabilities the principal has access to — governance-specific items do not appear as disabled or locked for domain team members, they simply do not appear.</w:t>
      </w:r>
    </w:p>
    <w:p>
      <w:pPr>
        <w:spacing w:before="160" w:after="60"/>
      </w:pPr>
      <w:r>
        <w:rPr>
          <w:rFonts w:ascii="Arial" w:cs="Arial" w:eastAsia="Arial" w:hAnsi="Arial"/>
          <w:b/>
          <w:bCs/>
          <w:color w:val="1B3A6B"/>
          <w:sz w:val="20"/>
          <w:szCs w:val="20"/>
        </w:rPr>
        <w:t xml:space="preserve">F7.3 — Organization and Domain Context Switching</w:t>
      </w:r>
    </w:p>
    <w:p>
      <w:pPr>
        <w:spacing w:before="0" w:after="100"/>
        <w:ind w:left="360"/>
      </w:pPr>
      <w:r>
        <w:rPr>
          <w:rFonts w:ascii="Arial" w:cs="Arial" w:eastAsia="Arial" w:hAnsi="Arial"/>
          <w:color w:val="111827"/>
          <w:sz w:val="20"/>
          <w:szCs w:val="20"/>
        </w:rPr>
        <w:t xml:space="preserve">A persistent context switcher makes the current active domain or organization always visible and always changeable without a full page reload. All platform state shall be scoped to the active context.</w:t>
      </w:r>
    </w:p>
    <w:p>
      <w:pPr>
        <w:spacing w:before="160" w:after="60"/>
      </w:pPr>
      <w:r>
        <w:rPr>
          <w:rFonts w:ascii="Arial" w:cs="Arial" w:eastAsia="Arial" w:hAnsi="Arial"/>
          <w:b/>
          <w:bCs/>
          <w:color w:val="1B3A6B"/>
          <w:sz w:val="20"/>
          <w:szCs w:val="20"/>
        </w:rPr>
        <w:t xml:space="preserve">F7.4 — Global Search</w:t>
      </w:r>
    </w:p>
    <w:p>
      <w:pPr>
        <w:spacing w:before="0" w:after="100"/>
        <w:ind w:left="360"/>
      </w:pPr>
      <w:r>
        <w:rPr>
          <w:rFonts w:ascii="Arial" w:cs="Arial" w:eastAsia="Arial" w:hAnsi="Arial"/>
          <w:color w:val="111827"/>
          <w:sz w:val="20"/>
          <w:szCs w:val="20"/>
        </w:rPr>
        <w:t xml:space="preserve">Keyboard-shortcut accessible global search indexing: product names, descriptions, tags, domain names, owner names, and semantic annotations. Results filterable by type, domain, classification, compliance state, and trust score range. Results respect the principal's access grants.</w:t>
      </w:r>
    </w:p>
    <w:p>
      <w:pPr>
        <w:spacing w:before="160" w:after="60"/>
      </w:pPr>
      <w:r>
        <w:rPr>
          <w:rFonts w:ascii="Arial" w:cs="Arial" w:eastAsia="Arial" w:hAnsi="Arial"/>
          <w:b/>
          <w:bCs/>
          <w:color w:val="1B3A6B"/>
          <w:sz w:val="20"/>
          <w:szCs w:val="20"/>
        </w:rPr>
        <w:t xml:space="preserve">F7.5 — Notifications and Activity Feed</w:t>
      </w:r>
    </w:p>
    <w:p>
      <w:pPr>
        <w:spacing w:before="0" w:after="100"/>
        <w:ind w:left="360"/>
      </w:pPr>
      <w:r>
        <w:rPr>
          <w:rFonts w:ascii="Arial" w:cs="Arial" w:eastAsia="Arial" w:hAnsi="Arial"/>
          <w:color w:val="111827"/>
          <w:sz w:val="20"/>
          <w:szCs w:val="20"/>
        </w:rPr>
        <w:t xml:space="preserve">Role-appropriate notifications for all personas — actionable and deep-linking to relevant platform context. Domain teams: product lifecycle events, SLO violations, schema drift, consumer access requests. Governance teams: compliance drift, policy impact, exception requests, agent anomaly escalations. Consumers: access grant status, deprecation notices, trust score changes.</w:t>
      </w:r>
    </w:p>
    <w:p>
      <w:pPr>
        <w:spacing w:before="160" w:after="60"/>
      </w:pPr>
      <w:r>
        <w:rPr>
          <w:rFonts w:ascii="Arial" w:cs="Arial" w:eastAsia="Arial" w:hAnsi="Arial"/>
          <w:b/>
          <w:bCs/>
          <w:color w:val="1B3A6B"/>
          <w:sz w:val="20"/>
          <w:szCs w:val="20"/>
        </w:rPr>
        <w:t xml:space="preserve">F7.6 — Keyboard and Accessibility</w:t>
      </w:r>
    </w:p>
    <w:p>
      <w:pPr>
        <w:spacing w:before="0" w:after="100"/>
        <w:ind w:left="360"/>
      </w:pPr>
      <w:r>
        <w:rPr>
          <w:rFonts w:ascii="Arial" w:cs="Arial" w:eastAsia="Arial" w:hAnsi="Arial"/>
          <w:color w:val="111827"/>
          <w:sz w:val="20"/>
          <w:szCs w:val="20"/>
        </w:rPr>
        <w:t xml:space="preserve">WCAG 2.1 AA compliance. All primary workflows completable via keyboard alone. Screen reader support for all informational content. Accessibility compliance shall be a release gate.</w:t>
      </w:r>
    </w:p>
    <w:p>
      <w:pPr>
        <w:pStyle w:val="Heading3"/>
        <w:spacing w:before="240" w:after="120"/>
      </w:pPr>
      <w:r>
        <w:rPr>
          <w:rFonts w:ascii="Arial" w:cs="Arial" w:eastAsia="Arial" w:hAnsi="Arial"/>
          <w:b/>
          <w:bCs/>
          <w:color w:val="00A9A5"/>
          <w:sz w:val="22"/>
          <w:szCs w:val="22"/>
        </w:rPr>
        <w:t xml:space="preserve">Data Product Publishing and Management
(Primary: Domain Teams)</w:t>
      </w:r>
    </w:p>
    <w:p>
      <w:pPr>
        <w:spacing w:before="160" w:after="60"/>
      </w:pPr>
      <w:r>
        <w:rPr>
          <w:rFonts w:ascii="Arial" w:cs="Arial" w:eastAsia="Arial" w:hAnsi="Arial"/>
          <w:b/>
          <w:bCs/>
          <w:color w:val="1B3A6B"/>
          <w:sz w:val="20"/>
          <w:szCs w:val="20"/>
        </w:rPr>
        <w:t xml:space="preserve">F7.7 — Data Product Authoring Interface</w:t>
      </w:r>
    </w:p>
    <w:p>
      <w:pPr>
        <w:spacing w:before="0" w:after="100"/>
        <w:ind w:left="360"/>
      </w:pPr>
      <w:r>
        <w:rPr>
          <w:rFonts w:ascii="Arial" w:cs="Arial" w:eastAsia="Arial" w:hAnsi="Arial"/>
          <w:color w:val="111827"/>
          <w:sz w:val="20"/>
          <w:szCs w:val="20"/>
        </w:rPr>
        <w:t xml:space="preserve">Structured, guided authoring interface presenting the effective policy requirements as a visible checklist throughout. Continuous in-authoring validation surfaces issues as the author works, not only at submission. Contextual help for every field. Draft saving without triggering validation gates.</w:t>
      </w:r>
    </w:p>
    <w:p>
      <w:pPr>
        <w:spacing w:before="160" w:after="60"/>
      </w:pPr>
      <w:r>
        <w:rPr>
          <w:rFonts w:ascii="Arial" w:cs="Arial" w:eastAsia="Arial" w:hAnsi="Arial"/>
          <w:b/>
          <w:bCs/>
          <w:color w:val="1B3A6B"/>
          <w:sz w:val="20"/>
          <w:szCs w:val="20"/>
        </w:rPr>
        <w:t xml:space="preserve">F7.8 — Port Configuration UI</w:t>
      </w:r>
    </w:p>
    <w:p>
      <w:pPr>
        <w:spacing w:before="0" w:after="100"/>
        <w:ind w:left="360"/>
      </w:pPr>
      <w:r>
        <w:rPr>
          <w:rFonts w:ascii="Arial" w:cs="Arial" w:eastAsia="Arial" w:hAnsi="Arial"/>
          <w:color w:val="111827"/>
          <w:sz w:val="20"/>
          <w:szCs w:val="20"/>
        </w:rPr>
        <w:t xml:space="preserve">Port-type-specific configuration UI within the authoring interface, with real-time port validation — a SQL output port configuration immediately verifies the declared endpoint is reachable and that the declared schema matches the actual source schema.</w:t>
      </w:r>
    </w:p>
    <w:p>
      <w:pPr>
        <w:spacing w:before="160" w:after="60"/>
      </w:pPr>
      <w:r>
        <w:rPr>
          <w:rFonts w:ascii="Arial" w:cs="Arial" w:eastAsia="Arial" w:hAnsi="Arial"/>
          <w:b/>
          <w:bCs/>
          <w:color w:val="1B3A6B"/>
          <w:sz w:val="20"/>
          <w:szCs w:val="20"/>
        </w:rPr>
        <w:t xml:space="preserve">F7.9 — Schema Editor</w:t>
      </w:r>
    </w:p>
    <w:p>
      <w:pPr>
        <w:spacing w:before="0" w:after="100"/>
        <w:ind w:left="360"/>
      </w:pPr>
      <w:r>
        <w:rPr>
          <w:rFonts w:ascii="Arial" w:cs="Arial" w:eastAsia="Arial" w:hAnsi="Arial"/>
          <w:color w:val="111827"/>
          <w:sz w:val="20"/>
          <w:szCs w:val="20"/>
        </w:rPr>
        <w:t xml:space="preserve">Integrated schema editor supporting: manual field-by-field definition, import from connector-inferred schema (with review and confirmation), import from upstream product output port schema, visual diff between versions, and semantic annotation authoring alongside field definition.</w:t>
      </w:r>
    </w:p>
    <w:p>
      <w:pPr>
        <w:spacing w:before="160" w:after="60"/>
      </w:pPr>
      <w:r>
        <w:rPr>
          <w:rFonts w:ascii="Arial" w:cs="Arial" w:eastAsia="Arial" w:hAnsi="Arial"/>
          <w:b/>
          <w:bCs/>
          <w:color w:val="1B3A6B"/>
          <w:sz w:val="20"/>
          <w:szCs w:val="20"/>
        </w:rPr>
        <w:t xml:space="preserve">F7.10 — SLO Configuration UI</w:t>
      </w:r>
    </w:p>
    <w:p>
      <w:pPr>
        <w:spacing w:before="0" w:after="100"/>
        <w:ind w:left="360"/>
      </w:pPr>
      <w:r>
        <w:rPr>
          <w:rFonts w:ascii="Arial" w:cs="Arial" w:eastAsia="Arial" w:hAnsi="Arial"/>
          <w:color w:val="111827"/>
          <w:sz w:val="20"/>
          <w:szCs w:val="20"/>
        </w:rPr>
        <w:t xml:space="preserve">Guided SLO configuration translating business-language questions into platform-enforceable declarations. Surfaces the dependency SLO chain during configuration to help domain teams set achievable targets.</w:t>
      </w:r>
    </w:p>
    <w:p>
      <w:pPr>
        <w:spacing w:before="160" w:after="60"/>
      </w:pPr>
      <w:r>
        <w:rPr>
          <w:rFonts w:ascii="Arial" w:cs="Arial" w:eastAsia="Arial" w:hAnsi="Arial"/>
          <w:b/>
          <w:bCs/>
          <w:color w:val="1B3A6B"/>
          <w:sz w:val="20"/>
          <w:szCs w:val="20"/>
        </w:rPr>
        <w:t xml:space="preserve">F7.11 — Connector Management UI</w:t>
      </w:r>
    </w:p>
    <w:p>
      <w:pPr>
        <w:spacing w:before="0" w:after="100"/>
        <w:ind w:left="360"/>
      </w:pPr>
      <w:r>
        <w:rPr>
          <w:rFonts w:ascii="Arial" w:cs="Arial" w:eastAsia="Arial" w:hAnsi="Arial"/>
          <w:color w:val="111827"/>
          <w:sz w:val="20"/>
          <w:szCs w:val="20"/>
        </w:rPr>
        <w:t xml:space="preserve">Pre-built connector library with search and category filtering, connector-type-specific configuration forms, inline connector validation, connector health with historical trend, and guided custom connector registration flow.</w:t>
      </w:r>
    </w:p>
    <w:p>
      <w:pPr>
        <w:spacing w:before="160" w:after="60"/>
      </w:pPr>
      <w:r>
        <w:rPr>
          <w:rFonts w:ascii="Arial" w:cs="Arial" w:eastAsia="Arial" w:hAnsi="Arial"/>
          <w:b/>
          <w:bCs/>
          <w:color w:val="1B3A6B"/>
          <w:sz w:val="20"/>
          <w:szCs w:val="20"/>
        </w:rPr>
        <w:t xml:space="preserve">F7.12 — Product Lifecycle Management UI</w:t>
      </w:r>
    </w:p>
    <w:p>
      <w:pPr>
        <w:spacing w:before="0" w:after="100"/>
        <w:ind w:left="360"/>
      </w:pPr>
      <w:r>
        <w:rPr>
          <w:rFonts w:ascii="Arial" w:cs="Arial" w:eastAsia="Arial" w:hAnsi="Arial"/>
          <w:color w:val="111827"/>
          <w:sz w:val="20"/>
          <w:szCs w:val="20"/>
        </w:rPr>
        <w:t xml:space="preserve">All domain products with current lifecycle state, compliance state, trust score, and active consumer count. Lifecycle actions — publish, deprecate, decommission — presented as consequence-surfacing workflows showing what will happen and who will be affected before commitment.</w:t>
      </w:r>
    </w:p>
    <w:p>
      <w:pPr>
        <w:spacing w:before="160" w:after="60"/>
      </w:pPr>
      <w:r>
        <w:rPr>
          <w:rFonts w:ascii="Arial" w:cs="Arial" w:eastAsia="Arial" w:hAnsi="Arial"/>
          <w:b/>
          <w:bCs/>
          <w:color w:val="1B3A6B"/>
          <w:sz w:val="20"/>
          <w:szCs w:val="20"/>
        </w:rPr>
        <w:t xml:space="preserve">F7.13 — Versioning UI</w:t>
      </w:r>
    </w:p>
    <w:p>
      <w:pPr>
        <w:spacing w:before="0" w:after="100"/>
        <w:ind w:left="360"/>
      </w:pPr>
      <w:r>
        <w:rPr>
          <w:rFonts w:ascii="Arial" w:cs="Arial" w:eastAsia="Arial" w:hAnsi="Arial"/>
          <w:color w:val="111827"/>
          <w:sz w:val="20"/>
          <w:szCs w:val="20"/>
        </w:rPr>
        <w:t xml:space="preserve">Complete version history, currently active versions, consumers per version, and deprecation schedules. MAJOR version publication workflow enforces the semantic change declaration (F2.18) through a structured form with guided sections for schema changes, meaning changes, and consumer migration guidance. Impact analysis (F5.16) is a mandatory step.</w:t>
      </w:r>
    </w:p>
    <w:p>
      <w:pPr>
        <w:spacing w:before="160" w:after="60"/>
      </w:pPr>
      <w:r>
        <w:rPr>
          <w:rFonts w:ascii="Arial" w:cs="Arial" w:eastAsia="Arial" w:hAnsi="Arial"/>
          <w:b/>
          <w:bCs/>
          <w:color w:val="1B3A6B"/>
          <w:sz w:val="20"/>
          <w:szCs w:val="20"/>
        </w:rPr>
        <w:t xml:space="preserve">F7.14 — Domain Team Dashboard</w:t>
      </w:r>
    </w:p>
    <w:p>
      <w:pPr>
        <w:spacing w:before="0" w:after="100"/>
        <w:ind w:left="360"/>
      </w:pPr>
      <w:r>
        <w:rPr>
          <w:rFonts w:ascii="Arial" w:cs="Arial" w:eastAsia="Arial" w:hAnsi="Arial"/>
          <w:color w:val="111827"/>
          <w:sz w:val="20"/>
          <w:szCs w:val="20"/>
        </w:rPr>
        <w:t xml:space="preserve">Operational home for domain teams: all domain products with current status, domain compliance score, active consumer count, connector health summary, SLO compliance summary, and recent activity.</w:t>
      </w:r>
    </w:p>
    <w:p>
      <w:pPr>
        <w:pStyle w:val="Heading3"/>
        <w:spacing w:before="240" w:after="120"/>
      </w:pPr>
      <w:r>
        <w:rPr>
          <w:rFonts w:ascii="Arial" w:cs="Arial" w:eastAsia="Arial" w:hAnsi="Arial"/>
          <w:b/>
          <w:bCs/>
          <w:color w:val="00A9A5"/>
          <w:sz w:val="22"/>
          <w:szCs w:val="22"/>
        </w:rPr>
        <w:t xml:space="preserve">Data Product Discovery and Consumption
(Primary: Consumers. Secondary: Domain Teams)</w:t>
      </w:r>
    </w:p>
    <w:p>
      <w:pPr>
        <w:spacing w:before="160" w:after="60"/>
      </w:pPr>
      <w:r>
        <w:rPr>
          <w:rFonts w:ascii="Arial" w:cs="Arial" w:eastAsia="Arial" w:hAnsi="Arial"/>
          <w:b/>
          <w:bCs/>
          <w:color w:val="1B3A6B"/>
          <w:sz w:val="20"/>
          <w:szCs w:val="20"/>
        </w:rPr>
        <w:t xml:space="preserve">F7.15 — Data Product Marketplace</w:t>
      </w:r>
    </w:p>
    <w:p>
      <w:pPr>
        <w:spacing w:before="0" w:after="100"/>
        <w:ind w:left="360"/>
      </w:pPr>
      <w:r>
        <w:rPr>
          <w:rFonts w:ascii="Arial" w:cs="Arial" w:eastAsia="Arial" w:hAnsi="Arial"/>
          <w:color w:val="111827"/>
          <w:sz w:val="20"/>
          <w:szCs w:val="20"/>
        </w:rPr>
        <w:t xml:space="preserve">Primary discovery interface presenting all discoverable products with rich filtering by domain, classification, data type, tag, trust score range, compliance state, and SLO characteristics. Product-oriented browsing, not traditional catalog browsing.</w:t>
      </w:r>
    </w:p>
    <w:p>
      <w:pPr>
        <w:spacing w:before="160" w:after="60"/>
      </w:pPr>
      <w:r>
        <w:rPr>
          <w:rFonts w:ascii="Arial" w:cs="Arial" w:eastAsia="Arial" w:hAnsi="Arial"/>
          <w:b/>
          <w:bCs/>
          <w:color w:val="1B3A6B"/>
          <w:sz w:val="20"/>
          <w:szCs w:val="20"/>
        </w:rPr>
        <w:t xml:space="preserve">F7.16 — Data Product Detail Page</w:t>
      </w:r>
    </w:p>
    <w:p>
      <w:pPr>
        <w:spacing w:before="0" w:after="100"/>
        <w:ind w:left="360"/>
      </w:pPr>
      <w:r>
        <w:rPr>
          <w:rFonts w:ascii="Arial" w:cs="Arial" w:eastAsia="Arial" w:hAnsi="Arial"/>
          <w:color w:val="111827"/>
          <w:sz w:val="20"/>
          <w:szCs w:val="20"/>
        </w:rPr>
        <w:t xml:space="preserve">Dedicated page per product presenting: identity and lifecycle state, trust score with breakdown, compliance state, available output ports, schema browser with semantic annotations, observability summary, lineage preview, active consumer distribution, version history with semantic change summaries, and access request affordance.</w:t>
      </w:r>
    </w:p>
    <w:p>
      <w:pPr>
        <w:spacing w:before="160" w:after="60"/>
      </w:pPr>
      <w:r>
        <w:rPr>
          <w:rFonts w:ascii="Arial" w:cs="Arial" w:eastAsia="Arial" w:hAnsi="Arial"/>
          <w:b/>
          <w:bCs/>
          <w:color w:val="1B3A6B"/>
          <w:sz w:val="20"/>
          <w:szCs w:val="20"/>
        </w:rPr>
        <w:t xml:space="preserve">F7.17 — Trust Score Transparency</w:t>
      </w:r>
    </w:p>
    <w:p>
      <w:pPr>
        <w:spacing w:before="0" w:after="100"/>
        <w:ind w:left="360"/>
      </w:pPr>
      <w:r>
        <w:rPr>
          <w:rFonts w:ascii="Arial" w:cs="Arial" w:eastAsia="Arial" w:hAnsi="Arial"/>
          <w:color w:val="111827"/>
          <w:sz w:val="20"/>
          <w:szCs w:val="20"/>
        </w:rPr>
        <w:t xml:space="preserve">Trust score accompanied by transparent breakdown showing the contribution of each component with plain-language explanation of what is driving the score and what would change it.</w:t>
      </w:r>
    </w:p>
    <w:p>
      <w:pPr>
        <w:spacing w:before="160" w:after="60"/>
      </w:pPr>
      <w:r>
        <w:rPr>
          <w:rFonts w:ascii="Arial" w:cs="Arial" w:eastAsia="Arial" w:hAnsi="Arial"/>
          <w:b/>
          <w:bCs/>
          <w:color w:val="1B3A6B"/>
          <w:sz w:val="20"/>
          <w:szCs w:val="20"/>
        </w:rPr>
        <w:t xml:space="preserve">F7.18 — Access Request Workflow</w:t>
      </w:r>
    </w:p>
    <w:p>
      <w:pPr>
        <w:spacing w:before="0" w:after="100"/>
        <w:ind w:left="360"/>
      </w:pPr>
      <w:r>
        <w:rPr>
          <w:rFonts w:ascii="Arial" w:cs="Arial" w:eastAsia="Arial" w:hAnsi="Arial"/>
          <w:color w:val="111827"/>
          <w:sz w:val="20"/>
          <w:szCs w:val="20"/>
        </w:rPr>
        <w:t xml:space="preserve">Direct access request from the product detail page — output port selection, governance acknowledgments, approval routing per governance policy, real-time status tracking, and on-approval: connection details, sample queries, and getting-started guidance.</w:t>
      </w:r>
    </w:p>
    <w:p>
      <w:pPr>
        <w:spacing w:before="160" w:after="60"/>
      </w:pPr>
      <w:r>
        <w:rPr>
          <w:rFonts w:ascii="Arial" w:cs="Arial" w:eastAsia="Arial" w:hAnsi="Arial"/>
          <w:b/>
          <w:bCs/>
          <w:color w:val="1B3A6B"/>
          <w:sz w:val="20"/>
          <w:szCs w:val="20"/>
        </w:rPr>
        <w:t xml:space="preserve">F7.19 — Consumer Workspace</w:t>
      </w:r>
    </w:p>
    <w:p>
      <w:pPr>
        <w:spacing w:before="0" w:after="100"/>
        <w:ind w:left="360"/>
      </w:pPr>
      <w:r>
        <w:rPr>
          <w:rFonts w:ascii="Arial" w:cs="Arial" w:eastAsia="Arial" w:hAnsi="Arial"/>
          <w:color w:val="111827"/>
          <w:sz w:val="20"/>
          <w:szCs w:val="20"/>
        </w:rPr>
        <w:t xml:space="preserve">Personal persistent workspace: active access grants with expiration dates, consumed products with current trust scores, deprecation notices, and recommendations based on consumption patterns.</w:t>
      </w:r>
    </w:p>
    <w:p>
      <w:pPr>
        <w:spacing w:before="160" w:after="60"/>
      </w:pPr>
      <w:r>
        <w:rPr>
          <w:rFonts w:ascii="Arial" w:cs="Arial" w:eastAsia="Arial" w:hAnsi="Arial"/>
          <w:b/>
          <w:bCs/>
          <w:color w:val="1B3A6B"/>
          <w:sz w:val="20"/>
          <w:szCs w:val="20"/>
        </w:rPr>
        <w:t xml:space="preserve">F7.20 — Deprecation Impact Management</w:t>
      </w:r>
    </w:p>
    <w:p>
      <w:pPr>
        <w:spacing w:before="0" w:after="100"/>
        <w:ind w:left="360"/>
      </w:pPr>
      <w:r>
        <w:rPr>
          <w:rFonts w:ascii="Arial" w:cs="Arial" w:eastAsia="Arial" w:hAnsi="Arial"/>
          <w:color w:val="111827"/>
          <w:sz w:val="20"/>
          <w:szCs w:val="20"/>
        </w:rPr>
        <w:t xml:space="preserve">Structured deprecation impact experience for consumers: deprecation timeline, reason, available replacement products with direct schema and trust score comparison, and a migration planning checklist.</w:t>
      </w:r>
    </w:p>
    <w:p>
      <w:pPr>
        <w:pStyle w:val="Heading3"/>
        <w:spacing w:before="240" w:after="120"/>
      </w:pPr>
      <w:r>
        <w:rPr>
          <w:rFonts w:ascii="Arial" w:cs="Arial" w:eastAsia="Arial" w:hAnsi="Arial"/>
          <w:b/>
          <w:bCs/>
          <w:color w:val="00A9A5"/>
          <w:sz w:val="22"/>
          <w:szCs w:val="22"/>
        </w:rPr>
        <w:t xml:space="preserve">Governance Experience
(Primary: Governance Teams)</w:t>
      </w:r>
    </w:p>
    <w:p>
      <w:pPr>
        <w:spacing w:before="160" w:after="60"/>
      </w:pPr>
      <w:r>
        <w:rPr>
          <w:rFonts w:ascii="Arial" w:cs="Arial" w:eastAsia="Arial" w:hAnsi="Arial"/>
          <w:b/>
          <w:bCs/>
          <w:color w:val="1B3A6B"/>
          <w:sz w:val="20"/>
          <w:szCs w:val="20"/>
        </w:rPr>
        <w:t xml:space="preserve">F7.21 — Governance Command Center</w:t>
      </w:r>
    </w:p>
    <w:p>
      <w:pPr>
        <w:spacing w:before="0" w:after="100"/>
        <w:ind w:left="360"/>
      </w:pPr>
      <w:r>
        <w:rPr>
          <w:rFonts w:ascii="Arial" w:cs="Arial" w:eastAsia="Arial" w:hAnsi="Arial"/>
          <w:color w:val="111827"/>
          <w:sz w:val="20"/>
          <w:szCs w:val="20"/>
        </w:rPr>
        <w:t xml:space="preserve">Unified governance state at a glance: overall compliance rate with trend, compliance by domain, active grace periods, open exceptions, recent policy changes and impact, and agent trust classification distribution. Every metric drillable; every actionable item executable without leaving the command center.</w:t>
      </w:r>
    </w:p>
    <w:p>
      <w:pPr>
        <w:spacing w:before="160" w:after="60"/>
      </w:pPr>
      <w:r>
        <w:rPr>
          <w:rFonts w:ascii="Arial" w:cs="Arial" w:eastAsia="Arial" w:hAnsi="Arial"/>
          <w:b/>
          <w:bCs/>
          <w:color w:val="1B3A6B"/>
          <w:sz w:val="20"/>
          <w:szCs w:val="20"/>
        </w:rPr>
        <w:t xml:space="preserve">F7.22 — Policy Authoring Studio</w:t>
      </w:r>
    </w:p>
    <w:p>
      <w:pPr>
        <w:spacing w:before="0" w:after="100"/>
        <w:ind w:left="360"/>
      </w:pPr>
      <w:r>
        <w:rPr>
          <w:rFonts w:ascii="Arial" w:cs="Arial" w:eastAsia="Arial" w:hAnsi="Arial"/>
          <w:color w:val="111827"/>
          <w:sz w:val="20"/>
          <w:szCs w:val="20"/>
        </w:rPr>
        <w:t xml:space="preserve">Three-panel dedicated experience: navigable policy domain list (left), active policy domain rule builder (main), and persistent impact preview panel (right). Full policy configuration in one place without navigation away.</w:t>
      </w:r>
    </w:p>
    <w:p>
      <w:pPr>
        <w:spacing w:before="160" w:after="60"/>
      </w:pPr>
      <w:r>
        <w:rPr>
          <w:rFonts w:ascii="Arial" w:cs="Arial" w:eastAsia="Arial" w:hAnsi="Arial"/>
          <w:b/>
          <w:bCs/>
          <w:color w:val="1B3A6B"/>
          <w:sz w:val="20"/>
          <w:szCs w:val="20"/>
        </w:rPr>
        <w:t xml:space="preserve">F7.23 — Rule Builder UX</w:t>
      </w:r>
    </w:p>
    <w:p>
      <w:pPr>
        <w:spacing w:before="0" w:after="100"/>
        <w:ind w:left="360"/>
      </w:pPr>
      <w:r>
        <w:rPr>
          <w:rFonts w:ascii="Arial" w:cs="Arial" w:eastAsia="Arial" w:hAnsi="Arial"/>
          <w:color w:val="111827"/>
          <w:sz w:val="20"/>
          <w:szCs w:val="20"/>
        </w:rPr>
        <w:t xml:space="preserve">Structured plain-language rule composition using dropdown menus populated with actual org domains, classifications, and metadata attributes. Logical operators as visual connectors between condition blocks. Completed rule displayed as a plain-language sentence confirming intent.</w:t>
      </w:r>
    </w:p>
    <w:p>
      <w:pPr>
        <w:spacing w:before="160" w:after="60"/>
      </w:pPr>
      <w:r>
        <w:rPr>
          <w:rFonts w:ascii="Arial" w:cs="Arial" w:eastAsia="Arial" w:hAnsi="Arial"/>
          <w:b/>
          <w:bCs/>
          <w:color w:val="1B3A6B"/>
          <w:sz w:val="20"/>
          <w:szCs w:val="20"/>
        </w:rPr>
        <w:t xml:space="preserve">F7.24 — Impact Preview Panel</w:t>
      </w:r>
    </w:p>
    <w:p>
      <w:pPr>
        <w:spacing w:before="0" w:after="100"/>
        <w:ind w:left="360"/>
      </w:pPr>
      <w:r>
        <w:rPr>
          <w:rFonts w:ascii="Arial" w:cs="Arial" w:eastAsia="Arial" w:hAnsi="Arial"/>
          <w:color w:val="111827"/>
          <w:sz w:val="20"/>
          <w:szCs w:val="20"/>
        </w:rPr>
        <w:t xml:space="preserve">Real-time update as rules are built — live count of affected products, affected domains, and estimated non-compliant products. Detail drill-through to list of affected products. Generated from live platform data; completes within 3 seconds of rule change.</w:t>
      </w:r>
    </w:p>
    <w:p>
      <w:pPr>
        <w:spacing w:before="160" w:after="60"/>
      </w:pPr>
      <w:r>
        <w:rPr>
          <w:rFonts w:ascii="Arial" w:cs="Arial" w:eastAsia="Arial" w:hAnsi="Arial"/>
          <w:b/>
          <w:bCs/>
          <w:color w:val="1B3A6B"/>
          <w:sz w:val="20"/>
          <w:szCs w:val="20"/>
        </w:rPr>
        <w:t xml:space="preserve">F7.25 — Classification Taxonomy Manager</w:t>
      </w:r>
    </w:p>
    <w:p>
      <w:pPr>
        <w:spacing w:before="0" w:after="100"/>
        <w:ind w:left="360"/>
      </w:pPr>
      <w:r>
        <w:rPr>
          <w:rFonts w:ascii="Arial" w:cs="Arial" w:eastAsia="Arial" w:hAnsi="Arial"/>
          <w:color w:val="111827"/>
          <w:sz w:val="20"/>
          <w:szCs w:val="20"/>
        </w:rPr>
        <w:t xml:space="preserve">Editable hierarchy with each classification level showing label, description, product count, and referencing governance rules. Impact preview before any taxonomy change is committed.</w:t>
      </w:r>
    </w:p>
    <w:p>
      <w:pPr>
        <w:spacing w:before="160" w:after="60"/>
      </w:pPr>
      <w:r>
        <w:rPr>
          <w:rFonts w:ascii="Arial" w:cs="Arial" w:eastAsia="Arial" w:hAnsi="Arial"/>
          <w:b/>
          <w:bCs/>
          <w:color w:val="1B3A6B"/>
          <w:sz w:val="20"/>
          <w:szCs w:val="20"/>
        </w:rPr>
        <w:t xml:space="preserve">F7.26 — Compliance Drill-Down</w:t>
      </w:r>
    </w:p>
    <w:p>
      <w:pPr>
        <w:spacing w:before="0" w:after="100"/>
        <w:ind w:left="360"/>
      </w:pPr>
      <w:r>
        <w:rPr>
          <w:rFonts w:ascii="Arial" w:cs="Arial" w:eastAsia="Arial" w:hAnsi="Arial"/>
          <w:color w:val="111827"/>
          <w:sz w:val="20"/>
          <w:szCs w:val="20"/>
        </w:rPr>
        <w:t xml:space="preserve">Three-click path from command center summary to individual violation detail: non-compliant domain → non-compliant products → specific policy violations → authoring governance team member.</w:t>
      </w:r>
    </w:p>
    <w:p>
      <w:pPr>
        <w:spacing w:before="160" w:after="60"/>
      </w:pPr>
      <w:r>
        <w:rPr>
          <w:rFonts w:ascii="Arial" w:cs="Arial" w:eastAsia="Arial" w:hAnsi="Arial"/>
          <w:b/>
          <w:bCs/>
          <w:color w:val="1B3A6B"/>
          <w:sz w:val="20"/>
          <w:szCs w:val="20"/>
        </w:rPr>
        <w:t xml:space="preserve">F7.27 — Exception Management UI</w:t>
      </w:r>
    </w:p>
    <w:p>
      <w:pPr>
        <w:spacing w:before="0" w:after="100"/>
        <w:ind w:left="360"/>
      </w:pPr>
      <w:r>
        <w:rPr>
          <w:rFonts w:ascii="Arial" w:cs="Arial" w:eastAsia="Arial" w:hAnsi="Arial"/>
          <w:color w:val="111827"/>
          <w:sz w:val="20"/>
          <w:szCs w:val="20"/>
        </w:rPr>
        <w:t xml:space="preserve">Grant, review, and revoke compliance exceptions with expiration countdown and auto-close. Approaching-expiration exceptions surface in the command center alert surface.</w:t>
      </w:r>
    </w:p>
    <w:p>
      <w:pPr>
        <w:spacing w:before="160" w:after="60"/>
      </w:pPr>
      <w:r>
        <w:rPr>
          <w:rFonts w:ascii="Arial" w:cs="Arial" w:eastAsia="Arial" w:hAnsi="Arial"/>
          <w:b/>
          <w:bCs/>
          <w:color w:val="1B3A6B"/>
          <w:sz w:val="20"/>
          <w:szCs w:val="20"/>
        </w:rPr>
        <w:t xml:space="preserve">F7.28 — Domain Compliance Reports UI</w:t>
      </w:r>
    </w:p>
    <w:p>
      <w:pPr>
        <w:spacing w:before="0" w:after="100"/>
        <w:ind w:left="360"/>
      </w:pPr>
      <w:r>
        <w:rPr>
          <w:rFonts w:ascii="Arial" w:cs="Arial" w:eastAsia="Arial" w:hAnsi="Arial"/>
          <w:color w:val="111827"/>
          <w:sz w:val="20"/>
          <w:szCs w:val="20"/>
        </w:rPr>
        <w:t xml:space="preserve">Generate and export domain compliance reports — target domain, time range, included policy domains, PDF or CSV output. Reports retained for 90 days.</w:t>
      </w:r>
    </w:p>
    <w:p>
      <w:pPr>
        <w:pStyle w:val="Heading3"/>
        <w:spacing w:before="240" w:after="120"/>
      </w:pPr>
      <w:r>
        <w:rPr>
          <w:rFonts w:ascii="Arial" w:cs="Arial" w:eastAsia="Arial" w:hAnsi="Arial"/>
          <w:b/>
          <w:bCs/>
          <w:color w:val="00A9A5"/>
          <w:sz w:val="22"/>
          <w:szCs w:val="22"/>
        </w:rPr>
        <w:t xml:space="preserve">Lineage and Observability Experience
(All Personas)</w:t>
      </w:r>
    </w:p>
    <w:p>
      <w:pPr>
        <w:spacing w:before="160" w:after="60"/>
      </w:pPr>
      <w:r>
        <w:rPr>
          <w:rFonts w:ascii="Arial" w:cs="Arial" w:eastAsia="Arial" w:hAnsi="Arial"/>
          <w:b/>
          <w:bCs/>
          <w:color w:val="1B3A6B"/>
          <w:sz w:val="20"/>
          <w:szCs w:val="20"/>
        </w:rPr>
        <w:t xml:space="preserve">F7.29 — Lineage Graph Visualization</w:t>
      </w:r>
    </w:p>
    <w:p>
      <w:pPr>
        <w:spacing w:before="0" w:after="100"/>
        <w:ind w:left="360"/>
      </w:pPr>
      <w:r>
        <w:rPr>
          <w:rFonts w:ascii="Arial" w:cs="Arial" w:eastAsia="Arial" w:hAnsi="Arial"/>
          <w:color w:val="111827"/>
          <w:sz w:val="20"/>
          <w:szCs w:val="20"/>
        </w:rPr>
        <w:t xml:space="preserve">Interactive, zoomable, navigable lineage graph: node type visual encoding (color, shape, iconography), trust score and compliance state as visual indicators, depth control, focus mode, non-determinism marker highlighting on agent edges, smooth performance at up to 500 visible nodes, and static image and structured data export.</w:t>
      </w:r>
    </w:p>
    <w:p>
      <w:pPr>
        <w:spacing w:before="160" w:after="60"/>
      </w:pPr>
      <w:r>
        <w:rPr>
          <w:rFonts w:ascii="Arial" w:cs="Arial" w:eastAsia="Arial" w:hAnsi="Arial"/>
          <w:b/>
          <w:bCs/>
          <w:color w:val="1B3A6B"/>
          <w:sz w:val="20"/>
          <w:szCs w:val="20"/>
        </w:rPr>
        <w:t xml:space="preserve">F7.30 — Lineage Time Travel UI</w:t>
      </w:r>
    </w:p>
    <w:p>
      <w:pPr>
        <w:spacing w:before="0" w:after="100"/>
        <w:ind w:left="360"/>
      </w:pPr>
      <w:r>
        <w:rPr>
          <w:rFonts w:ascii="Arial" w:cs="Arial" w:eastAsia="Arial" w:hAnsi="Arial"/>
          <w:color w:val="111827"/>
          <w:sz w:val="20"/>
          <w:szCs w:val="20"/>
        </w:rPr>
        <w:t xml:space="preserve">Date picker-based time travel mode visually distinct from current state view. Smooth transition between current and historical states without page reload.</w:t>
      </w:r>
    </w:p>
    <w:p>
      <w:pPr>
        <w:spacing w:before="160" w:after="60"/>
      </w:pPr>
      <w:r>
        <w:rPr>
          <w:rFonts w:ascii="Arial" w:cs="Arial" w:eastAsia="Arial" w:hAnsi="Arial"/>
          <w:b/>
          <w:bCs/>
          <w:color w:val="1B3A6B"/>
          <w:sz w:val="20"/>
          <w:szCs w:val="20"/>
        </w:rPr>
        <w:t xml:space="preserve">F7.31 — Impact Analysis Visualization</w:t>
      </w:r>
    </w:p>
    <w:p>
      <w:pPr>
        <w:spacing w:before="0" w:after="100"/>
        <w:ind w:left="360"/>
      </w:pPr>
      <w:r>
        <w:rPr>
          <w:rFonts w:ascii="Arial" w:cs="Arial" w:eastAsia="Arial" w:hAnsi="Arial"/>
          <w:color w:val="111827"/>
          <w:sz w:val="20"/>
          <w:szCs w:val="20"/>
        </w:rPr>
        <w:t xml:space="preserve">For breaking change workflows: all downstream products and consumers highlighted in the lineage graph, with navigation to each affected product's detail page directly from the visualization. Required acknowledgment step in the breaking change workflow.</w:t>
      </w:r>
    </w:p>
    <w:p>
      <w:pPr>
        <w:spacing w:before="160" w:after="60"/>
      </w:pPr>
      <w:r>
        <w:rPr>
          <w:rFonts w:ascii="Arial" w:cs="Arial" w:eastAsia="Arial" w:hAnsi="Arial"/>
          <w:b/>
          <w:bCs/>
          <w:color w:val="1B3A6B"/>
          <w:sz w:val="20"/>
          <w:szCs w:val="20"/>
        </w:rPr>
        <w:t xml:space="preserve">F7.32 — Observability Dashboard</w:t>
      </w:r>
    </w:p>
    <w:p>
      <w:pPr>
        <w:spacing w:before="0" w:after="100"/>
        <w:ind w:left="360"/>
      </w:pPr>
      <w:r>
        <w:rPr>
          <w:rFonts w:ascii="Arial" w:cs="Arial" w:eastAsia="Arial" w:hAnsi="Arial"/>
          <w:color w:val="111827"/>
          <w:sz w:val="20"/>
          <w:szCs w:val="20"/>
        </w:rPr>
        <w:t xml:space="preserve">Per-product real-time observability dashboard: all eight metric categories (F5.19) with current values vs SLO targets, trend sparklines, SLO violation timeline, source labeling (platform-computed vs domain-emitted), observability drift alerts, and agent-specific signals section for agent-produced products.</w:t>
      </w:r>
    </w:p>
    <w:p>
      <w:pPr>
        <w:spacing w:before="160" w:after="60"/>
      </w:pPr>
      <w:r>
        <w:rPr>
          <w:rFonts w:ascii="Arial" w:cs="Arial" w:eastAsia="Arial" w:hAnsi="Arial"/>
          <w:b/>
          <w:bCs/>
          <w:color w:val="1B3A6B"/>
          <w:sz w:val="20"/>
          <w:szCs w:val="20"/>
        </w:rPr>
        <w:t xml:space="preserve">F7.33 — Trust Score Detail View</w:t>
      </w:r>
    </w:p>
    <w:p>
      <w:pPr>
        <w:spacing w:before="0" w:after="100"/>
        <w:ind w:left="360"/>
      </w:pPr>
      <w:r>
        <w:rPr>
          <w:rFonts w:ascii="Arial" w:cs="Arial" w:eastAsia="Arial" w:hAnsi="Arial"/>
          <w:color w:val="111827"/>
          <w:sz w:val="20"/>
          <w:szCs w:val="20"/>
        </w:rPr>
        <w:t xml:space="preserve">Expandable full trust score detail: current score, historical trend, component contribution breakdown with individual scores, plain-language explanation of drivers, and actionable improvement recommendations for domain teams.</w:t>
      </w:r>
    </w:p>
    <w:p>
      <w:pPr>
        <w:pStyle w:val="Heading3"/>
        <w:spacing w:before="240" w:after="120"/>
      </w:pPr>
      <w:r>
        <w:rPr>
          <w:rFonts w:ascii="Arial" w:cs="Arial" w:eastAsia="Arial" w:hAnsi="Arial"/>
          <w:b/>
          <w:bCs/>
          <w:color w:val="00A9A5"/>
          <w:sz w:val="22"/>
          <w:szCs w:val="22"/>
        </w:rPr>
        <w:t xml:space="preserve">Agent Management Experience
(Domain Teams for registration; Governance Teams for policy)</w:t>
      </w:r>
    </w:p>
    <w:p>
      <w:pPr>
        <w:spacing w:before="160" w:after="60"/>
      </w:pPr>
      <w:r>
        <w:rPr>
          <w:rFonts w:ascii="Arial" w:cs="Arial" w:eastAsia="Arial" w:hAnsi="Arial"/>
          <w:b/>
          <w:bCs/>
          <w:color w:val="1B3A6B"/>
          <w:sz w:val="20"/>
          <w:szCs w:val="20"/>
        </w:rPr>
        <w:t xml:space="preserve">F7.34 — Agent Registry UI</w:t>
      </w:r>
    </w:p>
    <w:p>
      <w:pPr>
        <w:spacing w:before="0" w:after="100"/>
        <w:ind w:left="360"/>
      </w:pPr>
      <w:r>
        <w:rPr>
          <w:rFonts w:ascii="Arial" w:cs="Arial" w:eastAsia="Arial" w:hAnsi="Arial"/>
          <w:color w:val="111827"/>
          <w:sz w:val="20"/>
          <w:szCs w:val="20"/>
        </w:rPr>
        <w:t xml:space="preserve">Register and manage agent identities within domain context — all domain agents with lifecycle state, trust classification, access grant count, query volume trend, and human oversight contact. Guided registration flow with contextual help for agent-specific concepts.</w:t>
      </w:r>
    </w:p>
    <w:p>
      <w:pPr>
        <w:spacing w:before="160" w:after="60"/>
      </w:pPr>
      <w:r>
        <w:rPr>
          <w:rFonts w:ascii="Arial" w:cs="Arial" w:eastAsia="Arial" w:hAnsi="Arial"/>
          <w:b/>
          <w:bCs/>
          <w:color w:val="1B3A6B"/>
          <w:sz w:val="20"/>
          <w:szCs w:val="20"/>
        </w:rPr>
        <w:t xml:space="preserve">F7.35 — Agent Activity Monitor</w:t>
      </w:r>
    </w:p>
    <w:p>
      <w:pPr>
        <w:spacing w:before="0" w:after="100"/>
        <w:ind w:left="360"/>
      </w:pPr>
      <w:r>
        <w:rPr>
          <w:rFonts w:ascii="Arial" w:cs="Arial" w:eastAsia="Arial" w:hAnsi="Arial"/>
          <w:color w:val="111827"/>
          <w:sz w:val="20"/>
          <w:szCs w:val="20"/>
        </w:rPr>
        <w:t xml:space="preserve">Real-time and historical view per agent identity: query volume over time, data products accessed, cross-product join patterns, rate limit proximity, and anomaly escalation events. Primary tool for human oversight contact to fulfill oversight responsibility.</w:t>
      </w:r>
    </w:p>
    <w:p>
      <w:pPr>
        <w:spacing w:before="160" w:after="60"/>
      </w:pPr>
      <w:r>
        <w:rPr>
          <w:rFonts w:ascii="Arial" w:cs="Arial" w:eastAsia="Arial" w:hAnsi="Arial"/>
          <w:b/>
          <w:bCs/>
          <w:color w:val="1B3A6B"/>
          <w:sz w:val="20"/>
          <w:szCs w:val="20"/>
        </w:rPr>
        <w:t xml:space="preserve">F7.36 — Human Review Queue</w:t>
      </w:r>
    </w:p>
    <w:p>
      <w:pPr>
        <w:spacing w:before="0" w:after="100"/>
        <w:ind w:left="360"/>
      </w:pPr>
      <w:r>
        <w:rPr>
          <w:rFonts w:ascii="Arial" w:cs="Arial" w:eastAsia="Arial" w:hAnsi="Arial"/>
          <w:color w:val="111827"/>
          <w:sz w:val="20"/>
          <w:szCs w:val="20"/>
        </w:rPr>
        <w:t xml:space="preserve">For Observed trust class agents: structured review queue presenting proposed product definitions, reasoning trace reference, provenance envelope of consumed inputs, and diff against any prior version. Approve, reject with feedback, and request revision actions. Aging items surfaced as escalation alerts.</w:t>
      </w:r>
    </w:p>
    <w:p>
      <w:pPr>
        <w:spacing w:before="160" w:after="60"/>
      </w:pPr>
      <w:r>
        <w:rPr>
          <w:rFonts w:ascii="Arial" w:cs="Arial" w:eastAsia="Arial" w:hAnsi="Arial"/>
          <w:b/>
          <w:bCs/>
          <w:color w:val="1B3A6B"/>
          <w:sz w:val="20"/>
          <w:szCs w:val="20"/>
        </w:rPr>
        <w:t xml:space="preserve">F7.37 — Agent Trust Classification UI</w:t>
      </w:r>
    </w:p>
    <w:p>
      <w:pPr>
        <w:spacing w:before="0" w:after="100"/>
        <w:ind w:left="360"/>
      </w:pPr>
      <w:r>
        <w:rPr>
          <w:rFonts w:ascii="Arial" w:cs="Arial" w:eastAsia="Arial" w:hAnsi="Arial"/>
          <w:color w:val="111827"/>
          <w:sz w:val="20"/>
          <w:szCs w:val="20"/>
        </w:rPr>
        <w:t xml:space="preserve">Governance teams view and manage agent trust classifications across the organization. Trust classification upgrade requests surfaced for governance review with requesting domain's justification and the agent's activity history as context.</w:t>
      </w:r>
    </w:p>
    <w:p>
      <w:pPr>
        <w:pStyle w:val="Heading3"/>
        <w:spacing w:before="240" w:after="120"/>
      </w:pPr>
      <w:r>
        <w:rPr>
          <w:rFonts w:ascii="Arial" w:cs="Arial" w:eastAsia="Arial" w:hAnsi="Arial"/>
          <w:b/>
          <w:bCs/>
          <w:color w:val="00A9A5"/>
          <w:sz w:val="22"/>
          <w:szCs w:val="22"/>
        </w:rPr>
        <w:t xml:space="preserve">Platform Administration
(Platform Administrators)</w:t>
      </w:r>
    </w:p>
    <w:p>
      <w:pPr>
        <w:spacing w:before="160" w:after="60"/>
      </w:pPr>
      <w:r>
        <w:rPr>
          <w:rFonts w:ascii="Arial" w:cs="Arial" w:eastAsia="Arial" w:hAnsi="Arial"/>
          <w:b/>
          <w:bCs/>
          <w:color w:val="1B3A6B"/>
          <w:sz w:val="20"/>
          <w:szCs w:val="20"/>
        </w:rPr>
        <w:t xml:space="preserve">F7.38 — Organization Administration</w:t>
      </w:r>
    </w:p>
    <w:p>
      <w:pPr>
        <w:spacing w:before="0" w:after="100"/>
        <w:ind w:left="360"/>
      </w:pPr>
      <w:r>
        <w:rPr>
          <w:rFonts w:ascii="Arial" w:cs="Arial" w:eastAsia="Arial" w:hAnsi="Arial"/>
          <w:color w:val="111827"/>
          <w:sz w:val="20"/>
          <w:szCs w:val="20"/>
        </w:rPr>
        <w:t xml:space="preserve">Manage: organization tenant configuration, identity provider federation setup, platform-level role assignments, audit log access, and organization onboarding. Strictly separated from governance, domain, and consumer experiences — administrators shall not have access to organization data or product definitions.</w:t>
      </w:r>
    </w:p>
    <w:p>
      <w:pPr>
        <w:spacing w:before="160" w:after="60"/>
      </w:pPr>
      <w:r>
        <w:rPr>
          <w:rFonts w:ascii="Arial" w:cs="Arial" w:eastAsia="Arial" w:hAnsi="Arial"/>
          <w:b/>
          <w:bCs/>
          <w:color w:val="1B3A6B"/>
          <w:sz w:val="20"/>
          <w:szCs w:val="20"/>
        </w:rPr>
        <w:t xml:space="preserve">F7.39 — Onboarding Experience</w:t>
      </w:r>
    </w:p>
    <w:p>
      <w:pPr>
        <w:spacing w:before="0" w:after="100"/>
        <w:ind w:left="360"/>
      </w:pPr>
      <w:r>
        <w:rPr>
          <w:rFonts w:ascii="Arial" w:cs="Arial" w:eastAsia="Arial" w:hAnsi="Arial"/>
          <w:color w:val="111827"/>
          <w:sz w:val="20"/>
          <w:szCs w:val="20"/>
        </w:rPr>
        <w:t xml:space="preserve">Guided multi-step onboarding for new organizations: organization configuration, identity provider setup, governance layer initialization, policy template selection (F4.10), and first domain creation. Completable in a single session. Progress saved at each step for pause and resume.</w:t>
      </w:r>
    </w:p>
    <w:p>
      <w:pPr>
        <w:spacing w:before="160" w:after="60"/>
      </w:pPr>
      <w:r>
        <w:rPr>
          <w:rFonts w:ascii="Arial" w:cs="Arial" w:eastAsia="Arial" w:hAnsi="Arial"/>
          <w:b/>
          <w:bCs/>
          <w:color w:val="1B3A6B"/>
          <w:sz w:val="20"/>
          <w:szCs w:val="20"/>
        </w:rPr>
        <w:t xml:space="preserve">F7.40 — Usage and Health Monitoring</w:t>
      </w:r>
    </w:p>
    <w:p>
      <w:pPr>
        <w:spacing w:before="0" w:after="100"/>
        <w:ind w:left="360"/>
      </w:pPr>
      <w:r>
        <w:rPr>
          <w:rFonts w:ascii="Arial" w:cs="Arial" w:eastAsia="Arial" w:hAnsi="Arial"/>
          <w:color w:val="111827"/>
          <w:sz w:val="20"/>
          <w:szCs w:val="20"/>
        </w:rPr>
        <w:t xml:space="preserve">Control plane availability and latency, lineage emission throughput, federated query layer performance, connector health distribution, and organization-level usage metrics. For platform operational monitoring — does not expose organization data or governance details.</w:t>
      </w:r>
    </w:p>
    <w:p>
      <w:pPr>
        <w:pStyle w:val="Heading3"/>
        <w:spacing w:before="240" w:after="120"/>
      </w:pPr>
      <w:r>
        <w:rPr>
          <w:rFonts w:ascii="Arial" w:cs="Arial" w:eastAsia="Arial" w:hAnsi="Arial"/>
          <w:b/>
          <w:bCs/>
          <w:color w:val="00A9A5"/>
          <w:sz w:val="22"/>
          <w:szCs w:val="22"/>
        </w:rPr>
        <w:t xml:space="preserve">Cross-Cutting UX Requirements</w:t>
      </w:r>
    </w:p>
    <w:p>
      <w:pPr>
        <w:spacing w:before="160" w:after="60"/>
      </w:pPr>
      <w:r>
        <w:rPr>
          <w:rFonts w:ascii="Arial" w:cs="Arial" w:eastAsia="Arial" w:hAnsi="Arial"/>
          <w:b/>
          <w:bCs/>
          <w:color w:val="1B3A6B"/>
          <w:sz w:val="20"/>
          <w:szCs w:val="20"/>
        </w:rPr>
        <w:t xml:space="preserve">F7.41 — Progressive Disclosure</w:t>
      </w:r>
    </w:p>
    <w:p>
      <w:pPr>
        <w:spacing w:before="0" w:after="100"/>
        <w:ind w:left="360"/>
      </w:pPr>
      <w:r>
        <w:rPr>
          <w:rFonts w:ascii="Arial" w:cs="Arial" w:eastAsia="Arial" w:hAnsi="Arial"/>
          <w:color w:val="111827"/>
          <w:sz w:val="20"/>
          <w:szCs w:val="20"/>
        </w:rPr>
        <w:t xml:space="preserve">Minimum necessary information presented at first; detail on demand. Advanced capabilities discoverable without being obtrusive. A new domain team member shall not be confronted with the full complexity of the platform on first use.</w:t>
      </w:r>
    </w:p>
    <w:p>
      <w:pPr>
        <w:spacing w:before="160" w:after="60"/>
      </w:pPr>
      <w:r>
        <w:rPr>
          <w:rFonts w:ascii="Arial" w:cs="Arial" w:eastAsia="Arial" w:hAnsi="Arial"/>
          <w:b/>
          <w:bCs/>
          <w:color w:val="1B3A6B"/>
          <w:sz w:val="20"/>
          <w:szCs w:val="20"/>
        </w:rPr>
        <w:t xml:space="preserve">F7.42 — Empty States</w:t>
      </w:r>
    </w:p>
    <w:p>
      <w:pPr>
        <w:spacing w:before="0" w:after="100"/>
        <w:ind w:left="360"/>
      </w:pPr>
      <w:r>
        <w:rPr>
          <w:rFonts w:ascii="Arial" w:cs="Arial" w:eastAsia="Arial" w:hAnsi="Arial"/>
          <w:color w:val="111827"/>
          <w:sz w:val="20"/>
          <w:szCs w:val="20"/>
        </w:rPr>
        <w:t xml:space="preserve">Every list, dashboard, and data surface shall have a contextually appropriate empty state message and call to action — guiding users to their first action rather than displaying an error or blank screen.</w:t>
      </w:r>
    </w:p>
    <w:p>
      <w:pPr>
        <w:spacing w:before="160" w:after="60"/>
      </w:pPr>
      <w:r>
        <w:rPr>
          <w:rFonts w:ascii="Arial" w:cs="Arial" w:eastAsia="Arial" w:hAnsi="Arial"/>
          <w:b/>
          <w:bCs/>
          <w:color w:val="1B3A6B"/>
          <w:sz w:val="20"/>
          <w:szCs w:val="20"/>
        </w:rPr>
        <w:t xml:space="preserve">F7.43 — Inline Contextual Help</w:t>
      </w:r>
    </w:p>
    <w:p>
      <w:pPr>
        <w:spacing w:before="0" w:after="100"/>
        <w:ind w:left="360"/>
      </w:pPr>
      <w:r>
        <w:rPr>
          <w:rFonts w:ascii="Arial" w:cs="Arial" w:eastAsia="Arial" w:hAnsi="Arial"/>
          <w:color w:val="111827"/>
          <w:sz w:val="20"/>
          <w:szCs w:val="20"/>
        </w:rPr>
        <w:t xml:space="preserve">Every field, configuration option, and governance concept shall have inline contextual help accessible without leaving current context. Contextual help shall be written in plain language appropriate to the encountering persona.</w:t>
      </w:r>
    </w:p>
    <w:p>
      <w:pPr>
        <w:spacing w:before="160" w:after="60"/>
      </w:pPr>
      <w:r>
        <w:rPr>
          <w:rFonts w:ascii="Arial" w:cs="Arial" w:eastAsia="Arial" w:hAnsi="Arial"/>
          <w:b/>
          <w:bCs/>
          <w:color w:val="1B3A6B"/>
          <w:sz w:val="20"/>
          <w:szCs w:val="20"/>
        </w:rPr>
        <w:t xml:space="preserve">F7.44 — Confirmation and Consequence Surfacing</w:t>
      </w:r>
    </w:p>
    <w:p>
      <w:pPr>
        <w:spacing w:before="0" w:after="100"/>
        <w:ind w:left="360"/>
      </w:pPr>
      <w:r>
        <w:rPr>
          <w:rFonts w:ascii="Arial" w:cs="Arial" w:eastAsia="Arial" w:hAnsi="Arial"/>
          <w:color w:val="111827"/>
          <w:sz w:val="20"/>
          <w:szCs w:val="20"/>
        </w:rPr>
        <w:t xml:space="preserve">Every destructive or consequential action shall require explicit confirmation through a consequence-surfacing dialog stating plainly: what will happen, who will be affected, and what cannot be undone. Confirmation shall require active user input, not merely a dismiss action.</w:t>
      </w:r>
    </w:p>
    <w:p>
      <w:pPr>
        <w:spacing w:before="160" w:after="60"/>
      </w:pPr>
      <w:r>
        <w:rPr>
          <w:rFonts w:ascii="Arial" w:cs="Arial" w:eastAsia="Arial" w:hAnsi="Arial"/>
          <w:b/>
          <w:bCs/>
          <w:color w:val="1B3A6B"/>
          <w:sz w:val="20"/>
          <w:szCs w:val="20"/>
        </w:rPr>
        <w:t xml:space="preserve">F7.45 — Responsive Design</w:t>
      </w:r>
    </w:p>
    <w:p>
      <w:pPr>
        <w:spacing w:before="0" w:after="100"/>
        <w:ind w:left="360"/>
      </w:pPr>
      <w:r>
        <w:rPr>
          <w:rFonts w:ascii="Arial" w:cs="Arial" w:eastAsia="Arial" w:hAnsi="Arial"/>
          <w:color w:val="111827"/>
          <w:sz w:val="20"/>
          <w:szCs w:val="20"/>
        </w:rPr>
        <w:t xml:space="preserve">Fully functional on desktop (1280px+). Tablet support (768px+) for read-only and monitoring experiences. Authoring and configuration are desktop-optimized at MVP.</w:t>
      </w:r>
    </w:p>
    <w:p>
      <w:pPr>
        <w:spacing w:before="160" w:after="60"/>
      </w:pPr>
      <w:r>
        <w:rPr>
          <w:rFonts w:ascii="Arial" w:cs="Arial" w:eastAsia="Arial" w:hAnsi="Arial"/>
          <w:b/>
          <w:bCs/>
          <w:color w:val="1B3A6B"/>
          <w:sz w:val="20"/>
          <w:szCs w:val="20"/>
        </w:rPr>
        <w:t xml:space="preserve">F7.46 — Theme Support</w:t>
      </w:r>
    </w:p>
    <w:p>
      <w:pPr>
        <w:spacing w:before="0" w:after="100"/>
        <w:ind w:left="360"/>
      </w:pPr>
      <w:r>
        <w:rPr>
          <w:rFonts w:ascii="Arial" w:cs="Arial" w:eastAsia="Arial" w:hAnsi="Arial"/>
          <w:color w:val="111827"/>
          <w:sz w:val="20"/>
          <w:szCs w:val="20"/>
        </w:rPr>
        <w:t xml:space="preserve">Light and dark themes persisted per principal. System theme preference respected as default. Theme applied consistently across all platform surfaces.</w:t>
      </w:r>
    </w:p>
    <w:p>
      <w:pPr>
        <w:pStyle w:val="Heading2"/>
        <w:spacing w:before="320" w:after="160"/>
      </w:pPr>
      <w:r>
        <w:rPr>
          <w:rFonts w:ascii="Arial" w:cs="Arial" w:eastAsia="Arial" w:hAnsi="Arial"/>
          <w:b/>
          <w:bCs/>
          <w:color w:val="2E75B6"/>
          <w:sz w:val="26"/>
          <w:szCs w:val="26"/>
        </w:rPr>
        <w:t xml:space="preserve">Non-Functional Requirements</w:t>
      </w:r>
    </w:p>
    <w:p>
      <w:pPr>
        <w:spacing w:before="160" w:after="60"/>
      </w:pPr>
      <w:r>
        <w:rPr>
          <w:rFonts w:ascii="Arial" w:cs="Arial" w:eastAsia="Arial" w:hAnsi="Arial"/>
          <w:b/>
          <w:bCs/>
          <w:color w:val="2E75B6"/>
          <w:sz w:val="20"/>
          <w:szCs w:val="20"/>
        </w:rPr>
        <w:t xml:space="preserve">NF7.1 — Page Load Performance</w:t>
      </w:r>
    </w:p>
    <w:p>
      <w:pPr>
        <w:spacing w:before="0" w:after="100"/>
        <w:ind w:left="360"/>
      </w:pPr>
      <w:r>
        <w:rPr>
          <w:rFonts w:ascii="Arial" w:cs="Arial" w:eastAsia="Arial" w:hAnsi="Arial"/>
          <w:color w:val="111827"/>
          <w:sz w:val="20"/>
          <w:szCs w:val="20"/>
        </w:rPr>
        <w:t xml:space="preserve">Primary surface initial load within 3 seconds on standard broadband. Subsequent navigation within 1 second for pre-fetched routes.</w:t>
      </w:r>
    </w:p>
    <w:p>
      <w:pPr>
        <w:spacing w:before="160" w:after="60"/>
      </w:pPr>
      <w:r>
        <w:rPr>
          <w:rFonts w:ascii="Arial" w:cs="Arial" w:eastAsia="Arial" w:hAnsi="Arial"/>
          <w:b/>
          <w:bCs/>
          <w:color w:val="2E75B6"/>
          <w:sz w:val="20"/>
          <w:szCs w:val="20"/>
        </w:rPr>
        <w:t xml:space="preserve">NF7.2 — Lineage Visualization Performance</w:t>
      </w:r>
    </w:p>
    <w:p>
      <w:pPr>
        <w:spacing w:before="0" w:after="100"/>
        <w:ind w:left="360"/>
      </w:pPr>
      <w:r>
        <w:rPr>
          <w:rFonts w:ascii="Arial" w:cs="Arial" w:eastAsia="Arial" w:hAnsi="Arial"/>
          <w:color w:val="111827"/>
          <w:sz w:val="20"/>
          <w:szCs w:val="20"/>
        </w:rPr>
        <w:t xml:space="preserve">Lineage graph visualization shall render graphs of up to 500 nodes at 60 frames per second on a modern desktop browser.</w:t>
      </w:r>
    </w:p>
    <w:p>
      <w:pPr>
        <w:spacing w:before="160" w:after="60"/>
      </w:pPr>
      <w:r>
        <w:rPr>
          <w:rFonts w:ascii="Arial" w:cs="Arial" w:eastAsia="Arial" w:hAnsi="Arial"/>
          <w:b/>
          <w:bCs/>
          <w:color w:val="2E75B6"/>
          <w:sz w:val="20"/>
          <w:szCs w:val="20"/>
        </w:rPr>
        <w:t xml:space="preserve">NF7.3 — Real-Time Update Latency</w:t>
      </w:r>
    </w:p>
    <w:p>
      <w:pPr>
        <w:spacing w:before="0" w:after="100"/>
        <w:ind w:left="360"/>
      </w:pPr>
      <w:r>
        <w:rPr>
          <w:rFonts w:ascii="Arial" w:cs="Arial" w:eastAsia="Arial" w:hAnsi="Arial"/>
          <w:color w:val="111827"/>
          <w:sz w:val="20"/>
          <w:szCs w:val="20"/>
        </w:rPr>
        <w:t xml:space="preserve">Dashboard metrics, observability data, compliance states, and trust scores shall reflect platform state within 30 seconds of underlying state change. Real-time surfaces shall use websocket connections with graceful polling degradation.</w:t>
      </w:r>
    </w:p>
    <w:p>
      <w:pPr>
        <w:spacing w:before="160" w:after="60"/>
      </w:pPr>
      <w:r>
        <w:rPr>
          <w:rFonts w:ascii="Arial" w:cs="Arial" w:eastAsia="Arial" w:hAnsi="Arial"/>
          <w:b/>
          <w:bCs/>
          <w:color w:val="2E75B6"/>
          <w:sz w:val="20"/>
          <w:szCs w:val="20"/>
        </w:rPr>
        <w:t xml:space="preserve">NF7.4 — Search Response Time</w:t>
      </w:r>
    </w:p>
    <w:p>
      <w:pPr>
        <w:spacing w:before="0" w:after="100"/>
        <w:ind w:left="360"/>
      </w:pPr>
      <w:r>
        <w:rPr>
          <w:rFonts w:ascii="Arial" w:cs="Arial" w:eastAsia="Arial" w:hAnsi="Arial"/>
          <w:color w:val="111827"/>
          <w:sz w:val="20"/>
          <w:szCs w:val="20"/>
        </w:rPr>
        <w:t xml:space="preserve">Global search results shall return within 1 second of query submission against the full indexed corpus.</w:t>
      </w:r>
    </w:p>
    <w:p>
      <w:pPr>
        <w:spacing w:before="160" w:after="60"/>
      </w:pPr>
      <w:r>
        <w:rPr>
          <w:rFonts w:ascii="Arial" w:cs="Arial" w:eastAsia="Arial" w:hAnsi="Arial"/>
          <w:b/>
          <w:bCs/>
          <w:color w:val="2E75B6"/>
          <w:sz w:val="20"/>
          <w:szCs w:val="20"/>
        </w:rPr>
        <w:t xml:space="preserve">NF7.5 — Browser Support</w:t>
      </w:r>
    </w:p>
    <w:p>
      <w:pPr>
        <w:spacing w:before="0" w:after="100"/>
        <w:ind w:left="360"/>
      </w:pPr>
      <w:r>
        <w:rPr>
          <w:rFonts w:ascii="Arial" w:cs="Arial" w:eastAsia="Arial" w:hAnsi="Arial"/>
          <w:color w:val="111827"/>
          <w:sz w:val="20"/>
          <w:szCs w:val="20"/>
        </w:rPr>
        <w:t xml:space="preserve">Current and previous major versions of Chrome, Firefox, Safari, and Edge. Internet Explorer not supported.</w:t>
      </w:r>
    </w:p>
    <w:p>
      <w:pPr>
        <w:spacing w:before="160" w:after="60"/>
      </w:pPr>
      <w:r>
        <w:rPr>
          <w:rFonts w:ascii="Arial" w:cs="Arial" w:eastAsia="Arial" w:hAnsi="Arial"/>
          <w:b/>
          <w:bCs/>
          <w:color w:val="2E75B6"/>
          <w:sz w:val="20"/>
          <w:szCs w:val="20"/>
        </w:rPr>
        <w:t xml:space="preserve">NF7.6 — Internationalization Readiness</w:t>
      </w:r>
    </w:p>
    <w:p>
      <w:pPr>
        <w:spacing w:before="0" w:after="100"/>
        <w:ind w:left="360"/>
      </w:pPr>
      <w:r>
        <w:rPr>
          <w:rFonts w:ascii="Arial" w:cs="Arial" w:eastAsia="Arial" w:hAnsi="Arial"/>
          <w:color w:val="111827"/>
          <w:sz w:val="20"/>
          <w:szCs w:val="20"/>
        </w:rPr>
        <w:t xml:space="preserve">All user-facing strings externalized, date and number formatting locale-aware, layout supporting right-to-left text rendering. Active translation beyond English is out of scope for MVP; architecture shall not require rework to support it.</w:t>
      </w:r>
    </w:p>
    <w:p>
      <w:pPr>
        <w:spacing w:before="160" w:after="60"/>
      </w:pPr>
      <w:r>
        <w:rPr>
          <w:rFonts w:ascii="Arial" w:cs="Arial" w:eastAsia="Arial" w:hAnsi="Arial"/>
          <w:b/>
          <w:bCs/>
          <w:color w:val="2E75B6"/>
          <w:sz w:val="20"/>
          <w:szCs w:val="20"/>
        </w:rPr>
        <w:t xml:space="preserve">NF7.7 — UI Availability</w:t>
      </w:r>
    </w:p>
    <w:p>
      <w:pPr>
        <w:spacing w:before="0" w:after="100"/>
        <w:ind w:left="360"/>
      </w:pPr>
      <w:r>
        <w:rPr>
          <w:rFonts w:ascii="Arial" w:cs="Arial" w:eastAsia="Arial" w:hAnsi="Arial"/>
          <w:color w:val="111827"/>
          <w:sz w:val="20"/>
          <w:szCs w:val="20"/>
        </w:rPr>
        <w:t xml:space="preserve">99.9% UI availability. Read-only surfaces (marketplace, observability, lineage) shall remain available during control plane degradation wherever technically possible.</w:t>
      </w:r>
    </w:p>
    <w:p>
      <w:pPr>
        <w:pStyle w:val="Heading2"/>
        <w:spacing w:before="320" w:after="160"/>
      </w:pPr>
      <w:r>
        <w:rPr>
          <w:rFonts w:ascii="Arial" w:cs="Arial" w:eastAsia="Arial" w:hAnsi="Arial"/>
          <w:b/>
          <w:bCs/>
          <w:color w:val="2E75B6"/>
          <w:sz w:val="26"/>
          <w:szCs w:val="26"/>
        </w:rPr>
        <w:t xml:space="preserve">Out of Scope</w:t>
      </w:r>
    </w:p>
    <w:p>
      <w:pPr>
        <w:spacing w:before="80" w:after="80"/>
        <w:ind w:left="360"/>
      </w:pPr>
      <w:r>
        <w:rPr>
          <w:rFonts w:ascii="Courier New" w:cs="Courier New" w:eastAsia="Courier New" w:hAnsi="Courier New"/>
          <w:b/>
          <w:bCs/>
          <w:color w:val="EF4444"/>
          <w:sz w:val="18"/>
          <w:szCs w:val="18"/>
        </w:rPr>
        <w:t xml:space="preserve">OS7.1  </w:t>
      </w:r>
      <w:r>
        <w:rPr>
          <w:rFonts w:ascii="Arial" w:cs="Arial" w:eastAsia="Arial" w:hAnsi="Arial"/>
          <w:color w:val="111827"/>
          <w:sz w:val="20"/>
          <w:szCs w:val="20"/>
        </w:rPr>
        <w:t xml:space="preserve">[POST-MVP] Mobile application (iOS, Android). Responsive web covers tablet read-only use cases.</w:t>
      </w:r>
    </w:p>
    <w:p>
      <w:pPr>
        <w:spacing w:before="80" w:after="80"/>
        <w:ind w:left="360"/>
      </w:pPr>
      <w:r>
        <w:rPr>
          <w:rFonts w:ascii="Courier New" w:cs="Courier New" w:eastAsia="Courier New" w:hAnsi="Courier New"/>
          <w:b/>
          <w:bCs/>
          <w:color w:val="EF4444"/>
          <w:sz w:val="18"/>
          <w:szCs w:val="18"/>
        </w:rPr>
        <w:t xml:space="preserve">OS7.2  </w:t>
      </w:r>
      <w:r>
        <w:rPr>
          <w:rFonts w:ascii="Arial" w:cs="Arial" w:eastAsia="Arial" w:hAnsi="Arial"/>
          <w:color w:val="111827"/>
          <w:sz w:val="20"/>
          <w:szCs w:val="20"/>
        </w:rPr>
        <w:t xml:space="preserve">[POST-MVP] Embedded analytics and custom report building.</w:t>
      </w:r>
    </w:p>
    <w:p>
      <w:pPr>
        <w:spacing w:before="80" w:after="80"/>
        <w:ind w:left="360"/>
      </w:pPr>
      <w:r>
        <w:rPr>
          <w:rFonts w:ascii="Courier New" w:cs="Courier New" w:eastAsia="Courier New" w:hAnsi="Courier New"/>
          <w:b/>
          <w:bCs/>
          <w:color w:val="EF4444"/>
          <w:sz w:val="18"/>
          <w:szCs w:val="18"/>
        </w:rPr>
        <w:t xml:space="preserve">OS7.3  </w:t>
      </w:r>
      <w:r>
        <w:rPr>
          <w:rFonts w:ascii="Arial" w:cs="Arial" w:eastAsia="Arial" w:hAnsi="Arial"/>
          <w:color w:val="111827"/>
          <w:sz w:val="20"/>
          <w:szCs w:val="20"/>
        </w:rPr>
        <w:t xml:space="preserve">[POST-MVP] White-labeling and custom tenant branding.</w:t>
      </w:r>
    </w:p>
    <w:p>
      <w:pPr>
        <w:spacing w:before="80" w:after="80"/>
        <w:ind w:left="360"/>
      </w:pPr>
      <w:r>
        <w:rPr>
          <w:rFonts w:ascii="Courier New" w:cs="Courier New" w:eastAsia="Courier New" w:hAnsi="Courier New"/>
          <w:b/>
          <w:bCs/>
          <w:color w:val="EF4444"/>
          <w:sz w:val="18"/>
          <w:szCs w:val="18"/>
        </w:rPr>
        <w:t xml:space="preserve">OS7.4  </w:t>
      </w:r>
      <w:r>
        <w:rPr>
          <w:rFonts w:ascii="Arial" w:cs="Arial" w:eastAsia="Arial" w:hAnsi="Arial"/>
          <w:color w:val="111827"/>
          <w:sz w:val="20"/>
          <w:szCs w:val="20"/>
        </w:rPr>
        <w:t xml:space="preserve">[POST-MVP] In-platform data preview. Consumers receive connection details for their own tooling. High-value post-MVP feature.</w:t>
      </w:r>
    </w:p>
    <w:p>
      <w:pPr>
        <w:spacing w:before="80" w:after="80"/>
        <w:ind w:left="360"/>
      </w:pPr>
      <w:r>
        <w:rPr>
          <w:rFonts w:ascii="Courier New" w:cs="Courier New" w:eastAsia="Courier New" w:hAnsi="Courier New"/>
          <w:b/>
          <w:bCs/>
          <w:color w:val="EF4444"/>
          <w:sz w:val="18"/>
          <w:szCs w:val="18"/>
        </w:rPr>
        <w:t xml:space="preserve">OS7.5  </w:t>
      </w:r>
      <w:r>
        <w:rPr>
          <w:rFonts w:ascii="Arial" w:cs="Arial" w:eastAsia="Arial" w:hAnsi="Arial"/>
          <w:color w:val="111827"/>
          <w:sz w:val="20"/>
          <w:szCs w:val="20"/>
        </w:rPr>
        <w:t xml:space="preserve">[POST-MVP] AI-assisted data product definition authoring — consistent with OS2.1.</w:t>
      </w:r>
    </w:p>
    <w:p>
      <w:pPr>
        <w:spacing w:before="80" w:after="80"/>
        <w:ind w:left="360"/>
      </w:pPr>
      <w:r>
        <w:rPr>
          <w:rFonts w:ascii="Courier New" w:cs="Courier New" w:eastAsia="Courier New" w:hAnsi="Courier New"/>
          <w:b/>
          <w:bCs/>
          <w:color w:val="EF4444"/>
          <w:sz w:val="18"/>
          <w:szCs w:val="18"/>
        </w:rPr>
        <w:t xml:space="preserve">OS7.6  </w:t>
      </w:r>
      <w:r>
        <w:rPr>
          <w:rFonts w:ascii="Arial" w:cs="Arial" w:eastAsia="Arial" w:hAnsi="Arial"/>
          <w:color w:val="111827"/>
          <w:sz w:val="20"/>
          <w:szCs w:val="20"/>
        </w:rPr>
        <w:t xml:space="preserve">[POST-MVP] Collaborative simultaneous multi-user definition editing.</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Domain 7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Unified platform shell — single app, persona-adaptive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Persona-adaptive navigation — role-appropriate, no locked items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Organization and domain context switching — persistent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Global search — indexed, filterable, access-grant-respecting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Role-appropriate notifications — all actionable, all deep-linking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WCAG 2.1 AA accessibility — release gate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Guided authoring with continuous validation and policy checklist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Port-type-specific configuration UI with real-time port validation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Integrated schema editor with import, annotation, and version diff</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F7.10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Plain-language SLO configuration with dependency chain surfacing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F7.11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Connector management UI with inline validation and health trend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F7.12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Product lifecycle management with consequence-surfacing workflows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F7.13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Version management with structured semantic change declaration form</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F7.14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Domain team dashboard — operational health home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F7.15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product marketplace — product-oriented, richly filterable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F7.16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product detail page — full consumer-relevant signal surface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F7.17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Trust score transparency — component breakdown visible to all personas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F7.18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Access request workflow — port selection, policy acknowledgment, status tracking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F7.19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Consumer workspace — active grants, consumed products, recommendations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F7.20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Deprecation impact management with replacement comparison and migration checklist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F7.21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command center — monitoring and action surface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F7.22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 authoring studio — three-panel rule builder experience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F7.23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Plain-language rule builder with rule confirmation sentence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F7.24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Real-time impact preview panel — live data, 3-second update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F7.25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Classification taxonomy manager with impact preview</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F7.26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Three-click compliance drill-down — command center to violation detail</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F7.27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Exception management UI with expiration countdown and auto-close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F7.28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Domain compliance report generation — PDF and CSV</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F7.29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Interactive lineage graph visualization — 500 nodes, smooth performance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F7.30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time travel UI — date picker, visually distinct historical mode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F7.31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Impact analysis visualization as mandatory breaking change workflow step</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F7.32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Per-product observability dashboard — real-time, all metric categories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F7.33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Trust score detail view with improvement recommendations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F7.34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registry UI with guided registration flow</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F7.35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activity monitor — real-time and historical view</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F7.36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Human review queue for Observed trust class agent productions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F7.37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trust classification management for governance teams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F7.38</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Organization administration — strictly separated from org data</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F7.39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Guided multi-step onboarding — resumable, single-session completable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F7.40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Platform health and usage monitoring for administrators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F7.41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Progressive disclosure throughout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F7.42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Thoughtful empty states as onboarding surfaces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F7.43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Inline contextual help — persona-appropriate language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F7.44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Consequence-surfacing confirmation dialogs for all destructive actions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F7.45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Responsive design — desktop full, tablet read-only</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F7.46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Light and dark theme support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NF7.1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 surface load under 3 seconds; navigation under 1 second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NF7.2</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visualization 60fps at 500 nodes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NF7.3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UI state reflects platform within 30 seconds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NF7.4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Global search results within 1 second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NF7.5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Current and previous major versions of 4 major browsers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NF7.6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Internationalization architecture from day one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NF7.7</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Non-Functional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UI 99.9% availability with graceful read-only degradation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OS7.1</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Mobile application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OS7.2</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Embedded analytics and custom report building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OS7.3</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White-labeling and custom tenant branding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OS7.4</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In-platform data preview — high-value post-MVP</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OS7.5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AI-assisted definition authoring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OS7.6</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 of Scope (MVP)</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Collaborative simultaneous multi-user definition editing</w:t>
            </w:r>
          </w:p>
        </w:tc>
      </w:tr>
    </w:tbl>
    <w:p>
      <w:pPr>
        <w:pStyle w:val="Heading1"/>
        <w:pageBreakBefore/>
        <w:spacing w:before="0" w:after="200"/>
      </w:pPr>
      <w:r>
        <w:rPr>
          <w:rFonts w:ascii="Arial" w:cs="Arial" w:eastAsia="Arial" w:hAnsi="Arial"/>
          <w:b/>
          <w:bCs/>
          <w:color w:val="1B3A6B"/>
          <w:sz w:val="36"/>
          <w:szCs w:val="36"/>
        </w:rPr>
        <w:t xml:space="preserve">Appendix A: Persona-to-Capability Mapping</w:t>
      </w:r>
    </w:p>
    <w:p>
      <w:pPr>
        <w:pBdr>
          <w:bottom w:val="single" w:color="2E75B6" w:sz="6" w:space="1"/>
        </w:pBdr>
        <w:spacing w:before="160" w:after="160"/>
      </w:pPr>
      <w:r>
        <w:t xml:space="preserve"/>
      </w:r>
    </w:p>
    <w:p>
      <w:pPr>
        <w:spacing w:before="60" w:after="80"/>
      </w:pPr>
      <w:r>
        <w:rPr>
          <w:rFonts w:ascii="Arial" w:cs="Arial" w:eastAsia="Arial" w:hAnsi="Arial"/>
          <w:color w:val="111827"/>
          <w:sz w:val="20"/>
          <w:szCs w:val="20"/>
        </w:rPr>
        <w:t xml:space="preserve">This table provides the experience-led view of the requirements — showing which capability areas each persona interacts with and in what capacity.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60"/>
        <w:gridCol w:w="1500"/>
        <w:gridCol w:w="1460"/>
        <w:gridCol w:w="174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 Area</w:t>
            </w:r>
          </w:p>
        </w:tc>
        <w:tc>
          <w:tcPr>
            <w:tcW w:type="dxa" w:w="13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Domain Teams</w:t>
            </w:r>
          </w:p>
        </w:tc>
        <w:tc>
          <w:tcPr>
            <w:tcW w:type="dxa" w:w="1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Consumers</w:t>
            </w:r>
          </w:p>
        </w:tc>
        <w:tc>
          <w:tcPr>
            <w:tcW w:type="dxa" w:w="1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Governance Teams</w:t>
            </w:r>
          </w:p>
        </w:tc>
        <w:tc>
          <w:tcPr>
            <w:tcW w:type="dxa" w:w="14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AI Agents</w:t>
            </w:r>
          </w:p>
        </w:tc>
        <w:tc>
          <w:tcPr>
            <w:tcW w:type="dxa" w:w="17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Platform Admins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 &amp; Domain Model</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c>
          <w:tcPr>
            <w:tcW w:type="dxa" w:w="1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c>
          <w:tcPr>
            <w:tcW w:type="dxa" w:w="1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w:t>
            </w:r>
          </w:p>
        </w:tc>
        <w:tc>
          <w:tcPr>
            <w:tcW w:type="dxa" w:w="17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Product Definition &amp; Lifecycle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c>
          <w:tcPr>
            <w:tcW w:type="dxa" w:w="1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Read</w:t>
            </w:r>
          </w:p>
        </w:tc>
        <w:tc>
          <w:tcPr>
            <w:tcW w:type="dxa" w:w="1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Oversight</w:t>
            </w:r>
          </w:p>
        </w:tc>
        <w:tc>
          <w:tcPr>
            <w:tcW w:type="dxa" w:w="14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Producer (conditional)</w:t>
            </w:r>
          </w:p>
        </w:tc>
        <w:tc>
          <w:tcPr>
            <w:tcW w:type="dxa" w:w="17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Connectivity &amp; Source Integration</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c>
          <w:tcPr>
            <w:tcW w:type="dxa" w:w="1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Oversight</w:t>
            </w:r>
          </w:p>
        </w:tc>
        <w:tc>
          <w:tcPr>
            <w:tcW w:type="dxa" w:w="1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Read</w:t>
            </w:r>
          </w:p>
        </w:tc>
        <w:tc>
          <w:tcPr>
            <w:tcW w:type="dxa" w:w="17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Governance Engine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Subject</w:t>
            </w:r>
          </w:p>
        </w:tc>
        <w:tc>
          <w:tcPr>
            <w:tcW w:type="dxa" w:w="1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Subject</w:t>
            </w:r>
          </w:p>
        </w:tc>
        <w:tc>
          <w:tcPr>
            <w:tcW w:type="dxa" w:w="1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c>
          <w:tcPr>
            <w:tcW w:type="dxa" w:w="14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Subject</w:t>
            </w:r>
          </w:p>
        </w:tc>
        <w:tc>
          <w:tcPr>
            <w:tcW w:type="dxa" w:w="17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&amp; Observability</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c>
          <w:tcPr>
            <w:tcW w:type="dxa" w:w="1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Read</w:t>
            </w:r>
          </w:p>
        </w:tc>
        <w:tc>
          <w:tcPr>
            <w:tcW w:type="dxa" w:w="1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Oversight</w:t>
            </w:r>
          </w:p>
        </w:tc>
        <w:tc>
          <w:tcPr>
            <w:tcW w:type="dxa" w:w="1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c>
          <w:tcPr>
            <w:tcW w:type="dxa" w:w="17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Integration Layer</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Owner</w:t>
            </w:r>
          </w:p>
        </w:tc>
        <w:tc>
          <w:tcPr>
            <w:tcW w:type="dxa" w:w="1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w:t>
            </w:r>
          </w:p>
        </w:tc>
        <w:tc>
          <w:tcPr>
            <w:tcW w:type="dxa" w:w="14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c>
          <w:tcPr>
            <w:tcW w:type="dxa" w:w="17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Self-Service Experience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c>
          <w:tcPr>
            <w:tcW w:type="dxa" w:w="1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c>
          <w:tcPr>
            <w:tcW w:type="dxa" w:w="1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API</w:t>
            </w:r>
          </w:p>
        </w:tc>
        <w:tc>
          <w:tcPr>
            <w:tcW w:type="dxa" w:w="17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w:t>
            </w:r>
          </w:p>
        </w:tc>
      </w:tr>
    </w:tbl>
    <w:p>
      <w:pPr>
        <w:pStyle w:val="Heading1"/>
        <w:pageBreakBefore/>
        <w:spacing w:before="0" w:after="200"/>
      </w:pPr>
      <w:r>
        <w:rPr>
          <w:rFonts w:ascii="Arial" w:cs="Arial" w:eastAsia="Arial" w:hAnsi="Arial"/>
          <w:b/>
          <w:bCs/>
          <w:color w:val="1B3A6B"/>
          <w:sz w:val="36"/>
          <w:szCs w:val="36"/>
        </w:rPr>
        <w:t xml:space="preserve">Appendix B: Post-MVP Candidate Registry</w:t>
      </w:r>
    </w:p>
    <w:p>
      <w:pPr>
        <w:pBdr>
          <w:bottom w:val="single" w:color="2E75B6" w:sz="6" w:space="1"/>
        </w:pBdr>
        <w:spacing w:before="160" w:after="160"/>
      </w:pPr>
      <w:r>
        <w:t xml:space="preserve"/>
      </w:r>
    </w:p>
    <w:p>
      <w:pPr>
        <w:spacing w:before="60" w:after="80"/>
      </w:pPr>
      <w:r>
        <w:rPr>
          <w:rFonts w:ascii="Arial" w:cs="Arial" w:eastAsia="Arial" w:hAnsi="Arial"/>
          <w:color w:val="111827"/>
          <w:sz w:val="20"/>
          <w:szCs w:val="20"/>
        </w:rPr>
        <w:t xml:space="preserve">The following capabilities were explicitly identified as out of scope for MVP and flagged as post-MVP candidates. This registry serves as the seed backlog for the post-MVP roadmap.</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Domain</w:t>
            </w:r>
          </w:p>
        </w:tc>
        <w:tc>
          <w:tcPr>
            <w:tcW w:type="dxa" w:w="4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 Signal</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Sub-tenancy / business-unit hierarchy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1</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Enterprise sales driver</w:t>
            </w:r>
          </w:p>
        </w:tc>
      </w:tr>
      <w:tr>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Scale beyond 200 domains / 50K products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1</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Architectural growth path</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AI-assisted data product definition authoring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2, 7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High-value — strong candidate for first post-MVP release</w:t>
            </w:r>
          </w:p>
        </w:tc>
      </w:tr>
      <w:tr>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Schema inference for streaming, NoSQL, file sources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3</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Natural connector library extension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Managed private connectivity (PrivateLink, PSC)</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3</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Enterprise security requirement</w:t>
            </w:r>
          </w:p>
        </w:tc>
      </w:tr>
      <w:tr>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Policy-as-code authoring</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4</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Sophisticated governance teams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Native GRC platform integrations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4</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Enterprise compliance driver</w:t>
            </w:r>
          </w:p>
        </w:tc>
      </w:tr>
      <w:tr>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Trust score weight customization</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5</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Governance configurability extension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Natural language query precision improvement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6</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Continuous investment area</w:t>
            </w:r>
          </w:p>
        </w:tc>
      </w:tr>
      <w:tr>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financial metering and chargeback</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6</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Internal billing / FinOps use case</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Mobile application (iOS, Android)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Broader reach post-stabilization</w:t>
            </w:r>
          </w:p>
        </w:tc>
      </w:tr>
      <w:tr>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Embedded analytics and custom report building</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7</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Self-service analytics layer</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White-labeling and custom tenant branding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Enterprise and OEM use case</w:t>
            </w:r>
          </w:p>
        </w:tc>
      </w:tr>
      <w:tr>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In-platform data preview</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7</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High-value consumer experience</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Collaborative simultaneous definition editing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Team authoring workflow</w:t>
            </w:r>
          </w:p>
        </w:tc>
      </w:tr>
    </w:tbl>
    <w:p>
      <w:pPr>
        <w:pStyle w:val="Heading1"/>
        <w:pageBreakBefore/>
        <w:spacing w:before="0" w:after="200"/>
      </w:pPr>
      <w:r>
        <w:rPr>
          <w:rFonts w:ascii="Arial" w:cs="Arial" w:eastAsia="Arial" w:hAnsi="Arial"/>
          <w:b/>
          <w:bCs/>
          <w:color w:val="1B3A6B"/>
          <w:sz w:val="36"/>
          <w:szCs w:val="36"/>
        </w:rPr>
        <w:t xml:space="preserve">Appendix C: Key Design Decisions</w:t>
      </w:r>
    </w:p>
    <w:p>
      <w:pPr>
        <w:pBdr>
          <w:bottom w:val="single" w:color="2E75B6" w:sz="6" w:space="1"/>
        </w:pBdr>
        <w:spacing w:before="160" w:after="160"/>
      </w:pPr>
      <w:r>
        <w:t xml:space="preserve"/>
      </w:r>
    </w:p>
    <w:p>
      <w:pPr>
        <w:spacing w:before="60" w:after="80"/>
      </w:pPr>
      <w:r>
        <w:rPr>
          <w:rFonts w:ascii="Arial" w:cs="Arial" w:eastAsia="Arial" w:hAnsi="Arial"/>
          <w:color w:val="111827"/>
          <w:sz w:val="20"/>
          <w:szCs w:val="20"/>
        </w:rPr>
        <w:t xml:space="preserve">The following design decisions were explicitly made during requirements development and represent deliberate departures from or extensions of Zhamak Dehghani's original data mesh framework.</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Position</w:t>
            </w:r>
          </w:p>
        </w:tc>
        <w:tc>
          <w:tcPr>
            <w:tcW w:type="dxa" w:w="4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AI Agents as First-Class Persona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Agents are the highest-priority persona in Data 3.0 — above human consumers.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Agents operate at machine speed, require programmatic interfaces, and create new governance challenges that must be designed for from the start, not retrofitted.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Dual Consumption Model</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Humans connect to output ports directly. Agents use a governed federated semantic query layer.</w:t>
            </w:r>
          </w:p>
        </w:tc>
        <w:tc>
          <w:tcPr>
            <w:tcW w:type="dxa" w:w="4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Humans need direct control and tool-native access. Agents need cross-product reasoning without managing N connections. Neither model serves both personas well.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Declarative UI for Governance Policy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policy is authored through a declarative UI, not policy-as-code.</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Zhamak's framework is philosophically correct but practically demanding. Humans want to do less, not more. A declarative UI lowers the barrier without sacrificing computational enforcement.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AI Provenance as Default-On</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AI provenance metadata is enabled by default for all agent-produced products. It can be configured but not silently disabled.</w:t>
            </w:r>
          </w:p>
        </w:tc>
        <w:tc>
          <w:tcPr>
            <w:tcW w:type="dxa" w:w="4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 an agentic world, provenance is a trust primitive, not a feature. Making it default-on makes the safe path the easy path. Waiver requires documented justification.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Semantic Change Declaration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MAJOR version increments require a structured declaration of meaning changes, not just schema changes.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Agents consume data based on semantic understanding, not just schema. A schema change that preserves structure but changes meaning is invisible without a semantic change declaration.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Identity Never Deleted</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identities are retired, not deleted. Lineage and audit history are permanently retained.</w:t>
            </w:r>
          </w:p>
        </w:tc>
        <w:tc>
          <w:tcPr>
            <w:tcW w:type="dxa" w:w="4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An agent that produced data products must remain attributable in perpetuity. Deleting an identity would orphan lineage records and undermine the trust model.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 as First-Class Protocol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The platform exposes a fully compliant MCP server endpoint as a primary agent interface.</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 is emerging as the standard protocol for agent-to-tool interaction. First-class MCP support enables any MCP-compatible agent framework to interact with the mesh natively without custom integration.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after="0"/>
      <w:jc w:val="center"/>
    </w:pPr>
    <w:r>
      <w:rPr>
        <w:rFonts w:ascii="Arial" w:cs="Arial" w:eastAsia="Arial" w:hAnsi="Arial"/>
        <w:color w:val="6B7280"/>
        <w:sz w:val="16"/>
        <w:szCs w:val="16"/>
      </w:rPr>
      <w:t xml:space="preserve">Data 3.0 Self-Service Data Mesh Platform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60"/>
    </w:pPr>
    <w:r>
      <w:rPr>
        <w:rFonts w:ascii="Arial" w:cs="Arial" w:eastAsia="Arial" w:hAnsi="Arial"/>
        <w:color w:val="6B7280"/>
        <w:sz w:val="18"/>
        <w:szCs w:val="18"/>
      </w:rPr>
      <w:t xml:space="preserve">MeshOS — Product Requirements Document</w:t>
    </w:r>
    <w:r>
      <w:rPr>
        <w:rFonts w:ascii="Arial" w:cs="Arial" w:eastAsia="Arial" w:hAnsi="Arial"/>
        <w:color w:val="6B7280"/>
        <w:sz w:val="18"/>
        <w:szCs w:val="18"/>
      </w:rPr>
      <w:t xml:space="preserve">    |    Version 1.0 MVP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0A9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2026-03-31T01:40:20.075Z</dcterms:created>
  <dcterms:modified xsi:type="dcterms:W3CDTF">2026-03-31T01:40:20.077Z</dcterms:modified>
</cp:coreProperties>
</file>

<file path=docProps/custom.xml><?xml version="1.0" encoding="utf-8"?>
<Properties xmlns="http://schemas.openxmlformats.org/officeDocument/2006/custom-properties" xmlns:vt="http://schemas.openxmlformats.org/officeDocument/2006/docPropsVTypes"/>
</file>