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8EA3"/>
          <w:sz w:val="26"/>
        </w:rPr>
        <w:t>DENSITY</w:t>
      </w:r>
    </w:p>
    <w:p>
      <w:pPr>
        <w:pStyle w:val="Title"/>
        <w:jc w:val="center"/>
      </w:pPr>
      <w:r>
        <w:t>Guide de fonctionnement</w:t>
      </w:r>
    </w:p>
    <w:p>
      <w:pPr>
        <w:jc w:val="center"/>
      </w:pPr>
      <w:r>
        <w:rPr>
          <w:color w:val="64727A"/>
          <w:sz w:val="32"/>
        </w:rPr>
        <w:t>Architecture, flux de données et logique du moteur</w:t>
      </w:r>
    </w:p>
    <w:p/>
    <w:tbl>
      <w:tblPr>
        <w:tblW w:type="auto" w:w="0"/>
        <w:jc w:val="center"/>
        <w:tblLayout w:type="fixed"/>
        <w:tblLook w:firstColumn="1" w:firstRow="1" w:lastColumn="0" w:lastRow="0" w:noHBand="0" w:noVBand="1" w:val="04A0"/>
      </w:tblPr>
      <w:tblGrid>
        <w:gridCol w:w="2160"/>
        <w:gridCol w:w="6912"/>
      </w:tblGrid>
      <w:tr>
        <w:tc>
          <w:tcPr>
            <w:tcW w:type="dxa" w:w="4997"/>
            <w:shd w:fill="17365D"/>
            <w:tcMar>
              <w:top w:w="100" w:type="dxa"/>
              <w:start w:w="120" w:type="dxa"/>
              <w:bottom w:w="100" w:type="dxa"/>
              <w:end w:w="120" w:type="dxa"/>
            </w:tcMar>
            <w:vAlign w:val="center"/>
          </w:tcPr>
          <w:p>
            <w:r>
              <w:rPr>
                <w:b/>
                <w:color w:val="FFFFFF"/>
              </w:rPr>
              <w:t>Public</w:t>
            </w:r>
          </w:p>
        </w:tc>
        <w:tc>
          <w:tcPr>
            <w:tcW w:type="dxa" w:w="4997"/>
            <w:shd w:fill="E8F1F5"/>
            <w:tcMar>
              <w:top w:w="100" w:type="dxa"/>
              <w:start w:w="120" w:type="dxa"/>
              <w:bottom w:w="100" w:type="dxa"/>
              <w:end w:w="120" w:type="dxa"/>
            </w:tcMar>
            <w:vAlign w:val="center"/>
          </w:tcPr>
          <w:p>
            <w:r>
              <w:t>Développeurs SuperCollider, compositeurs électroacoustiques et maintenance</w:t>
            </w:r>
          </w:p>
        </w:tc>
      </w:tr>
      <w:tr>
        <w:tc>
          <w:tcPr>
            <w:tcW w:type="dxa" w:w="4997"/>
            <w:shd w:fill="17365D"/>
            <w:tcMar>
              <w:top w:w="100" w:type="dxa"/>
              <w:start w:w="120" w:type="dxa"/>
              <w:bottom w:w="100" w:type="dxa"/>
              <w:end w:w="120" w:type="dxa"/>
            </w:tcMar>
            <w:vAlign w:val="center"/>
          </w:tcPr>
          <w:p>
            <w:r>
              <w:rPr>
                <w:b/>
                <w:color w:val="FFFFFF"/>
              </w:rPr>
              <w:t>Base analysée</w:t>
            </w:r>
          </w:p>
        </w:tc>
        <w:tc>
          <w:tcPr>
            <w:tcW w:type="dxa" w:w="4997"/>
            <w:shd w:fill="E8F1F5"/>
            <w:tcMar>
              <w:top w:w="100" w:type="dxa"/>
              <w:start w:w="120" w:type="dxa"/>
              <w:bottom w:w="100" w:type="dxa"/>
              <w:end w:w="120" w:type="dxa"/>
            </w:tcMar>
            <w:vAlign w:val="center"/>
          </w:tcPr>
          <w:p>
            <w:r>
              <w:t>Classe SuperCollider Density, GUI, analyse audio, génération et routage</w:t>
            </w:r>
          </w:p>
        </w:tc>
      </w:tr>
      <w:tr>
        <w:tc>
          <w:tcPr>
            <w:tcW w:type="dxa" w:w="4997"/>
            <w:shd w:fill="17365D"/>
            <w:tcMar>
              <w:top w:w="100" w:type="dxa"/>
              <w:start w:w="120" w:type="dxa"/>
              <w:bottom w:w="100" w:type="dxa"/>
              <w:end w:w="120" w:type="dxa"/>
            </w:tcMar>
            <w:vAlign w:val="center"/>
          </w:tcPr>
          <w:p>
            <w:r>
              <w:rPr>
                <w:b/>
                <w:color w:val="FFFFFF"/>
              </w:rPr>
              <w:t>Édition</w:t>
            </w:r>
          </w:p>
        </w:tc>
        <w:tc>
          <w:tcPr>
            <w:tcW w:type="dxa" w:w="4997"/>
            <w:shd w:fill="E8F1F5"/>
            <w:tcMar>
              <w:top w:w="100" w:type="dxa"/>
              <w:start w:w="120" w:type="dxa"/>
              <w:bottom w:w="100" w:type="dxa"/>
              <w:end w:w="120" w:type="dxa"/>
            </w:tcMar>
            <w:vAlign w:val="center"/>
          </w:tcPr>
          <w:p>
            <w:r>
              <w:t>Version 1.0, octobre 2026</w:t>
            </w:r>
          </w:p>
        </w:tc>
      </w:tr>
    </w:tbl>
    <w:p/>
    <w:tbl>
      <w:tblPr>
        <w:tblW w:type="auto" w:w="0"/>
        <w:jc w:val="center"/>
        <w:tblLook w:firstColumn="1" w:firstRow="1" w:lastColumn="0" w:lastRow="0" w:noHBand="0" w:noVBand="1" w:val="04A0"/>
      </w:tblPr>
      <w:tblGrid>
        <w:gridCol w:w="9994"/>
      </w:tblGrid>
      <w:tr>
        <w:tc>
          <w:tcPr>
            <w:tcW w:type="dxa" w:w="9994"/>
            <w:shd w:fill="E8F1F5"/>
            <w:tcMar>
              <w:top w:w="140" w:type="dxa"/>
              <w:start w:w="160" w:type="dxa"/>
              <w:bottom w:w="140" w:type="dxa"/>
              <w:end w:w="160" w:type="dxa"/>
            </w:tcMar>
          </w:tcPr>
          <w:p>
            <w:r>
              <w:rPr>
                <w:b/>
                <w:color w:val="1F8EA3"/>
                <w:sz w:val="22"/>
              </w:rPr>
              <w:t>Idée directrice</w:t>
              <w:br/>
            </w:r>
            <w:r>
              <w:t>Density écoute un flux musical, en extrait des caractéristiques, constitue une mémoire courte, puis génère une texture instrumentale dont la densité, le registre, les timbres, les effets et l’espace peuvent être modelés en temps réel.</w:t>
            </w:r>
          </w:p>
        </w:tc>
      </w:tr>
    </w:tbl>
    <w:p>
      <w:pPr>
        <w:spacing w:after="0"/>
      </w:pPr>
    </w:p>
    <w:p>
      <w:r>
        <w:br w:type="page"/>
      </w:r>
    </w:p>
    <w:p>
      <w:pPr>
        <w:pStyle w:val="Heading1"/>
        <w:keepNext/>
      </w:pPr>
      <w:r>
        <w:t>1. Vue d’ensemble architecturale</w:t>
      </w:r>
    </w:p>
    <w:p>
      <w:r>
        <w:t>Density est une classe SuperCollider monolithique qui orchestre serveur audio, analyse, OSC local, mémoires circulaires, transformation statistique, génération de voix, GUI, MIDI, VST, presets et enregistrement. Le langage sclang porte la logique; scsynth exécute les SynthDef.</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7365D"/>
            <w:tcMar>
              <w:top w:w="100" w:type="dxa"/>
              <w:start w:w="120" w:type="dxa"/>
              <w:bottom w:w="100" w:type="dxa"/>
              <w:end w:w="120" w:type="dxa"/>
            </w:tcMar>
            <w:vAlign w:val="center"/>
          </w:tcPr>
          <w:p>
            <w:r>
              <w:rPr>
                <w:b/>
                <w:color w:val="FFFFFF"/>
                <w:sz w:val="18"/>
              </w:rPr>
              <w:t>Couche</w:t>
            </w:r>
          </w:p>
        </w:tc>
        <w:tc>
          <w:tcPr>
            <w:tcW w:type="dxa" w:w="3744"/>
            <w:shd w:fill="17365D"/>
            <w:tcMar>
              <w:top w:w="100" w:type="dxa"/>
              <w:start w:w="120" w:type="dxa"/>
              <w:bottom w:w="100" w:type="dxa"/>
              <w:end w:w="120" w:type="dxa"/>
            </w:tcMar>
            <w:vAlign w:val="center"/>
          </w:tcPr>
          <w:p>
            <w:r>
              <w:rPr>
                <w:b/>
                <w:color w:val="FFFFFF"/>
                <w:sz w:val="18"/>
              </w:rPr>
              <w:t>Responsabilité</w:t>
            </w:r>
          </w:p>
        </w:tc>
        <w:tc>
          <w:tcPr>
            <w:tcW w:type="dxa" w:w="4320"/>
            <w:shd w:fill="17365D"/>
            <w:tcMar>
              <w:top w:w="100" w:type="dxa"/>
              <w:start w:w="120" w:type="dxa"/>
              <w:bottom w:w="100" w:type="dxa"/>
              <w:end w:w="120" w:type="dxa"/>
            </w:tcMar>
            <w:vAlign w:val="center"/>
          </w:tcPr>
          <w:p>
            <w:r>
              <w:rPr>
                <w:b/>
                <w:color w:val="FFFFFF"/>
                <w:sz w:val="18"/>
              </w:rPr>
              <w:t>Objets principaux</w:t>
            </w:r>
          </w:p>
        </w:tc>
      </w:tr>
      <w:tr>
        <w:tc>
          <w:tcPr>
            <w:tcW w:type="dxa" w:w="1728"/>
            <w:tcMar>
              <w:top w:w="100" w:type="dxa"/>
              <w:start w:w="120" w:type="dxa"/>
              <w:bottom w:w="100" w:type="dxa"/>
              <w:end w:w="120" w:type="dxa"/>
            </w:tcMar>
            <w:vAlign w:val="center"/>
          </w:tcPr>
          <w:p>
            <w:r>
              <w:rPr>
                <w:sz w:val="17"/>
              </w:rPr>
              <w:t>Initialisation</w:t>
            </w:r>
          </w:p>
        </w:tc>
        <w:tc>
          <w:tcPr>
            <w:tcW w:type="dxa" w:w="3744"/>
            <w:tcMar>
              <w:top w:w="100" w:type="dxa"/>
              <w:start w:w="120" w:type="dxa"/>
              <w:bottom w:w="100" w:type="dxa"/>
              <w:end w:w="120" w:type="dxa"/>
            </w:tcMar>
            <w:vAlign w:val="center"/>
          </w:tcPr>
          <w:p>
            <w:r>
              <w:rPr>
                <w:sz w:val="17"/>
              </w:rPr>
              <w:t>périphériques, serveur, chemins, MIDI, valeurs par défaut</w:t>
            </w:r>
          </w:p>
        </w:tc>
        <w:tc>
          <w:tcPr>
            <w:tcW w:type="dxa" w:w="4320"/>
            <w:tcMar>
              <w:top w:w="100" w:type="dxa"/>
              <w:start w:w="120" w:type="dxa"/>
              <w:bottom w:w="100" w:type="dxa"/>
              <w:end w:w="120" w:type="dxa"/>
            </w:tcMar>
            <w:vAlign w:val="center"/>
          </w:tcPr>
          <w:p>
            <w:r>
              <w:rPr>
                <w:sz w:val="17"/>
              </w:rPr>
              <w:t>init, Server.default, MIDIClient</w:t>
            </w:r>
          </w:p>
        </w:tc>
      </w:tr>
      <w:tr>
        <w:tc>
          <w:tcPr>
            <w:tcW w:type="dxa" w:w="1728"/>
            <w:tcMar>
              <w:top w:w="100" w:type="dxa"/>
              <w:start w:w="120" w:type="dxa"/>
              <w:bottom w:w="100" w:type="dxa"/>
              <w:end w:w="120" w:type="dxa"/>
            </w:tcMar>
            <w:vAlign w:val="center"/>
            <w:shd w:fill="F5F8FA"/>
          </w:tcPr>
          <w:p>
            <w:r>
              <w:rPr>
                <w:sz w:val="17"/>
              </w:rPr>
              <w:t>DSP analyse</w:t>
            </w:r>
          </w:p>
        </w:tc>
        <w:tc>
          <w:tcPr>
            <w:tcW w:type="dxa" w:w="3744"/>
            <w:tcMar>
              <w:top w:w="100" w:type="dxa"/>
              <w:start w:w="120" w:type="dxa"/>
              <w:bottom w:w="100" w:type="dxa"/>
              <w:end w:w="120" w:type="dxa"/>
            </w:tcMar>
            <w:vAlign w:val="center"/>
            <w:shd w:fill="F5F8FA"/>
          </w:tcPr>
          <w:p>
            <w:r>
              <w:rPr>
                <w:sz w:val="17"/>
              </w:rPr>
              <w:t>source, FFT, onsets, pitch, descripteurs</w:t>
            </w:r>
          </w:p>
        </w:tc>
        <w:tc>
          <w:tcPr>
            <w:tcW w:type="dxa" w:w="4320"/>
            <w:tcMar>
              <w:top w:w="100" w:type="dxa"/>
              <w:start w:w="120" w:type="dxa"/>
              <w:bottom w:w="100" w:type="dxa"/>
              <w:end w:w="120" w:type="dxa"/>
            </w:tcMar>
            <w:vAlign w:val="center"/>
            <w:shd w:fill="F5F8FA"/>
          </w:tcPr>
          <w:p>
            <w:r>
              <w:rPr>
                <w:sz w:val="17"/>
              </w:rPr>
              <w:t>SynthDef OSC Density *</w:t>
            </w:r>
          </w:p>
        </w:tc>
      </w:tr>
      <w:tr>
        <w:tc>
          <w:tcPr>
            <w:tcW w:type="dxa" w:w="1728"/>
            <w:tcMar>
              <w:top w:w="100" w:type="dxa"/>
              <w:start w:w="120" w:type="dxa"/>
              <w:bottom w:w="100" w:type="dxa"/>
              <w:end w:w="120" w:type="dxa"/>
            </w:tcMar>
            <w:vAlign w:val="center"/>
          </w:tcPr>
          <w:p>
            <w:r>
              <w:rPr>
                <w:sz w:val="17"/>
              </w:rPr>
              <w:t>Transport données</w:t>
            </w:r>
          </w:p>
        </w:tc>
        <w:tc>
          <w:tcPr>
            <w:tcW w:type="dxa" w:w="3744"/>
            <w:tcMar>
              <w:top w:w="100" w:type="dxa"/>
              <w:start w:w="120" w:type="dxa"/>
              <w:bottom w:w="100" w:type="dxa"/>
              <w:end w:w="120" w:type="dxa"/>
            </w:tcMar>
            <w:vAlign w:val="center"/>
          </w:tcPr>
          <w:p>
            <w:r>
              <w:rPr>
                <w:sz w:val="17"/>
              </w:rPr>
              <w:t>retours scsynth vers sclang</w:t>
            </w:r>
          </w:p>
        </w:tc>
        <w:tc>
          <w:tcPr>
            <w:tcW w:type="dxa" w:w="4320"/>
            <w:tcMar>
              <w:top w:w="100" w:type="dxa"/>
              <w:start w:w="120" w:type="dxa"/>
              <w:bottom w:w="100" w:type="dxa"/>
              <w:end w:w="120" w:type="dxa"/>
            </w:tcMar>
            <w:vAlign w:val="center"/>
          </w:tcPr>
          <w:p>
            <w:r>
              <w:rPr>
                <w:sz w:val="17"/>
              </w:rPr>
              <w:t>SendReply, OSCFunc</w:t>
            </w:r>
          </w:p>
        </w:tc>
      </w:tr>
      <w:tr>
        <w:tc>
          <w:tcPr>
            <w:tcW w:type="dxa" w:w="1728"/>
            <w:tcMar>
              <w:top w:w="100" w:type="dxa"/>
              <w:start w:w="120" w:type="dxa"/>
              <w:bottom w:w="100" w:type="dxa"/>
              <w:end w:w="120" w:type="dxa"/>
            </w:tcMar>
            <w:vAlign w:val="center"/>
            <w:shd w:fill="F5F8FA"/>
          </w:tcPr>
          <w:p>
            <w:r>
              <w:rPr>
                <w:sz w:val="17"/>
              </w:rPr>
              <w:t>Mémoire</w:t>
            </w:r>
          </w:p>
        </w:tc>
        <w:tc>
          <w:tcPr>
            <w:tcW w:type="dxa" w:w="3744"/>
            <w:tcMar>
              <w:top w:w="100" w:type="dxa"/>
              <w:start w:w="120" w:type="dxa"/>
              <w:bottom w:w="100" w:type="dxa"/>
              <w:end w:w="120" w:type="dxa"/>
            </w:tcMar>
            <w:vAlign w:val="center"/>
            <w:shd w:fill="F5F8FA"/>
          </w:tcPr>
          <w:p>
            <w:r>
              <w:rPr>
                <w:sz w:val="17"/>
              </w:rPr>
              <w:t>historique global et par bande</w:t>
            </w:r>
          </w:p>
        </w:tc>
        <w:tc>
          <w:tcPr>
            <w:tcW w:type="dxa" w:w="4320"/>
            <w:tcMar>
              <w:top w:w="100" w:type="dxa"/>
              <w:start w:w="120" w:type="dxa"/>
              <w:bottom w:w="100" w:type="dxa"/>
              <w:end w:w="120" w:type="dxa"/>
            </w:tcMar>
            <w:vAlign w:val="center"/>
            <w:shd w:fill="F5F8FA"/>
          </w:tcPr>
          <w:p>
            <w:r>
              <w:rPr>
                <w:sz w:val="17"/>
              </w:rPr>
              <w:t>dataFlux…dataDuree, indexData*</w:t>
            </w:r>
          </w:p>
        </w:tc>
      </w:tr>
      <w:tr>
        <w:tc>
          <w:tcPr>
            <w:tcW w:type="dxa" w:w="1728"/>
            <w:tcMar>
              <w:top w:w="100" w:type="dxa"/>
              <w:start w:w="120" w:type="dxa"/>
              <w:bottom w:w="100" w:type="dxa"/>
              <w:end w:w="120" w:type="dxa"/>
            </w:tcMar>
            <w:vAlign w:val="center"/>
          </w:tcPr>
          <w:p>
            <w:r>
              <w:rPr>
                <w:sz w:val="17"/>
              </w:rPr>
              <w:t>Transformation</w:t>
            </w:r>
          </w:p>
        </w:tc>
        <w:tc>
          <w:tcPr>
            <w:tcW w:type="dxa" w:w="3744"/>
            <w:tcMar>
              <w:top w:w="100" w:type="dxa"/>
              <w:start w:w="120" w:type="dxa"/>
              <w:bottom w:w="100" w:type="dxa"/>
              <w:end w:w="120" w:type="dxa"/>
            </w:tcMar>
            <w:vAlign w:val="center"/>
          </w:tcPr>
          <w:p>
            <w:r>
              <w:rPr>
                <w:sz w:val="17"/>
              </w:rPr>
              <w:t>statistiques et algorithmes</w:t>
            </w:r>
          </w:p>
        </w:tc>
        <w:tc>
          <w:tcPr>
            <w:tcW w:type="dxa" w:w="4320"/>
            <w:tcMar>
              <w:top w:w="100" w:type="dxa"/>
              <w:start w:w="120" w:type="dxa"/>
              <w:bottom w:w="100" w:type="dxa"/>
              <w:end w:w="120" w:type="dxa"/>
            </w:tcMar>
            <w:vAlign w:val="center"/>
          </w:tcPr>
          <w:p>
            <w:r>
              <w:rPr>
                <w:sz w:val="17"/>
              </w:rPr>
              <w:t>computeAlgoFilterDataMusic</w:t>
            </w:r>
          </w:p>
        </w:tc>
      </w:tr>
      <w:tr>
        <w:tc>
          <w:tcPr>
            <w:tcW w:type="dxa" w:w="1728"/>
            <w:tcMar>
              <w:top w:w="100" w:type="dxa"/>
              <w:start w:w="120" w:type="dxa"/>
              <w:bottom w:w="100" w:type="dxa"/>
              <w:end w:w="120" w:type="dxa"/>
            </w:tcMar>
            <w:vAlign w:val="center"/>
            <w:shd w:fill="F5F8FA"/>
          </w:tcPr>
          <w:p>
            <w:r>
              <w:rPr>
                <w:sz w:val="17"/>
              </w:rPr>
              <w:t>Voix</w:t>
            </w:r>
          </w:p>
        </w:tc>
        <w:tc>
          <w:tcPr>
            <w:tcW w:type="dxa" w:w="3744"/>
            <w:tcMar>
              <w:top w:w="100" w:type="dxa"/>
              <w:start w:w="120" w:type="dxa"/>
              <w:bottom w:w="100" w:type="dxa"/>
              <w:end w:w="120" w:type="dxa"/>
            </w:tcMar>
            <w:vAlign w:val="center"/>
            <w:shd w:fill="F5F8FA"/>
          </w:tcPr>
          <w:p>
            <w:r>
              <w:rPr>
                <w:sz w:val="17"/>
              </w:rPr>
              <w:t>sélection et création synth/FX/master</w:t>
            </w:r>
          </w:p>
        </w:tc>
        <w:tc>
          <w:tcPr>
            <w:tcW w:type="dxa" w:w="4320"/>
            <w:tcMar>
              <w:top w:w="100" w:type="dxa"/>
              <w:start w:w="120" w:type="dxa"/>
              <w:bottom w:w="100" w:type="dxa"/>
              <w:end w:w="120" w:type="dxa"/>
            </w:tcMar>
            <w:vAlign w:val="center"/>
            <w:shd w:fill="F5F8FA"/>
          </w:tcPr>
          <w:p>
            <w:r>
              <w:rPr>
                <w:sz w:val="17"/>
              </w:rPr>
              <w:t>buildSynth, PmonoArtic, Synth</w:t>
            </w:r>
          </w:p>
        </w:tc>
      </w:tr>
      <w:tr>
        <w:tc>
          <w:tcPr>
            <w:tcW w:type="dxa" w:w="1728"/>
            <w:tcMar>
              <w:top w:w="100" w:type="dxa"/>
              <w:start w:w="120" w:type="dxa"/>
              <w:bottom w:w="100" w:type="dxa"/>
              <w:end w:w="120" w:type="dxa"/>
            </w:tcMar>
            <w:vAlign w:val="center"/>
          </w:tcPr>
          <w:p>
            <w:r>
              <w:rPr>
                <w:sz w:val="17"/>
              </w:rPr>
              <w:t>Ordonnancement</w:t>
            </w:r>
          </w:p>
        </w:tc>
        <w:tc>
          <w:tcPr>
            <w:tcW w:type="dxa" w:w="3744"/>
            <w:tcMar>
              <w:top w:w="100" w:type="dxa"/>
              <w:start w:w="120" w:type="dxa"/>
              <w:bottom w:w="100" w:type="dxa"/>
              <w:end w:w="120" w:type="dxa"/>
            </w:tcMar>
            <w:vAlign w:val="center"/>
          </w:tcPr>
          <w:p>
            <w:r>
              <w:rPr>
                <w:sz w:val="17"/>
              </w:rPr>
              <w:t>création et destruction</w:t>
            </w:r>
          </w:p>
        </w:tc>
        <w:tc>
          <w:tcPr>
            <w:tcW w:type="dxa" w:w="4320"/>
            <w:tcMar>
              <w:top w:w="100" w:type="dxa"/>
              <w:start w:w="120" w:type="dxa"/>
              <w:bottom w:w="100" w:type="dxa"/>
              <w:end w:w="120" w:type="dxa"/>
            </w:tcMar>
            <w:vAlign w:val="center"/>
          </w:tcPr>
          <w:p>
            <w:r>
              <w:rPr>
                <w:sz w:val="17"/>
              </w:rPr>
              <w:t>Tdef Player, WatchSilence</w:t>
            </w:r>
          </w:p>
        </w:tc>
      </w:tr>
      <w:tr>
        <w:tc>
          <w:tcPr>
            <w:tcW w:type="dxa" w:w="1728"/>
            <w:tcMar>
              <w:top w:w="100" w:type="dxa"/>
              <w:start w:w="120" w:type="dxa"/>
              <w:bottom w:w="100" w:type="dxa"/>
              <w:end w:w="120" w:type="dxa"/>
            </w:tcMar>
            <w:vAlign w:val="center"/>
            <w:shd w:fill="F5F8FA"/>
          </w:tcPr>
          <w:p>
            <w:r>
              <w:rPr>
                <w:sz w:val="17"/>
              </w:rPr>
              <w:t>Présentation</w:t>
            </w:r>
          </w:p>
        </w:tc>
        <w:tc>
          <w:tcPr>
            <w:tcW w:type="dxa" w:w="3744"/>
            <w:tcMar>
              <w:top w:w="100" w:type="dxa"/>
              <w:start w:w="120" w:type="dxa"/>
              <w:bottom w:w="100" w:type="dxa"/>
              <w:end w:w="120" w:type="dxa"/>
            </w:tcMar>
            <w:vAlign w:val="center"/>
            <w:shd w:fill="F5F8FA"/>
          </w:tcPr>
          <w:p>
            <w:r>
              <w:rPr>
                <w:sz w:val="17"/>
              </w:rPr>
              <w:t>fenêtres, actions, menus, raccourcis</w:t>
            </w:r>
          </w:p>
        </w:tc>
        <w:tc>
          <w:tcPr>
            <w:tcW w:type="dxa" w:w="4320"/>
            <w:tcMar>
              <w:top w:w="100" w:type="dxa"/>
              <w:start w:w="120" w:type="dxa"/>
              <w:bottom w:w="100" w:type="dxa"/>
              <w:end w:w="120" w:type="dxa"/>
            </w:tcMar>
            <w:vAlign w:val="center"/>
            <w:shd w:fill="F5F8FA"/>
          </w:tcPr>
          <w:p>
            <w:r>
              <w:rPr>
                <w:sz w:val="17"/>
              </w:rPr>
              <w:t>createGUI</w:t>
            </w:r>
          </w:p>
        </w:tc>
      </w:tr>
    </w:tbl>
    <w:p/>
    <w:p>
      <w:pPr>
        <w:pStyle w:val="Heading1"/>
        <w:keepNext/>
      </w:pPr>
      <w:r>
        <w:t>2. Séquence de démarrage</w:t>
      </w:r>
    </w:p>
    <w:p>
      <w:pPr>
        <w:pStyle w:val="ListNumber"/>
      </w:pPr>
      <w:r>
        <w:t>new transmet les paramètres à init.</w:t>
      </w:r>
    </w:p>
    <w:p>
      <w:pPr>
        <w:pStyle w:val="ListNumber"/>
      </w:pPr>
      <w:r>
        <w:t>init configure palette, menus, MIDI, répertoire de travail, périphériques et options serveur, puis initialise toutes les valeurs et orchestres.</w:t>
      </w:r>
    </w:p>
    <w:p>
      <w:pPr>
        <w:pStyle w:val="ListNumber"/>
      </w:pPr>
      <w:r>
        <w:t>run attend le démarrage du serveur.</w:t>
      </w:r>
    </w:p>
    <w:p>
      <w:pPr>
        <w:pStyle w:val="ListNumber"/>
      </w:pPr>
      <w:r>
        <w:t>initSynthDef compile et ajoute les SynthDef.</w:t>
      </w:r>
    </w:p>
    <w:p>
      <w:pPr>
        <w:pStyle w:val="ListNumber"/>
      </w:pPr>
      <w:r>
        <w:t>Les sons sont chargés en buffers; un fichier d’analyse par défaut est chargé.</w:t>
      </w:r>
    </w:p>
    <w:p>
      <w:pPr>
        <w:pStyle w:val="ListNumber"/>
      </w:pPr>
      <w:r>
        <w:t>Les groupes, bus audio et bus de contrôle sont créés.</w:t>
      </w:r>
    </w:p>
    <w:p>
      <w:pPr>
        <w:pStyle w:val="ListNumber"/>
      </w:pPr>
      <w:r>
        <w:t>Les synthés d’analyse, réverbérations, VST et limiteur sont instanciés, souvent en pause.</w:t>
      </w:r>
    </w:p>
    <w:p>
      <w:pPr>
        <w:pStyle w:val="ListNumber"/>
      </w:pPr>
      <w:r>
        <w:t>createGUI crée les fenêtres et écrit Init Preset.scd.</w:t>
      </w:r>
    </w:p>
    <w:p>
      <w:pPr>
        <w:pStyle w:val="ListNumber"/>
      </w:pPr>
      <w:r>
        <w:t>Start sélectionne source/analyseur, lance FFT, Player et WatchSilence.</w:t>
      </w:r>
    </w:p>
    <w:p>
      <w:pPr>
        <w:pStyle w:val="Heading1"/>
        <w:keepNext/>
      </w:pPr>
      <w:r>
        <w:t>3. Ordre des groupes et routage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17365D"/>
            <w:tcMar>
              <w:top w:w="100" w:type="dxa"/>
              <w:start w:w="120" w:type="dxa"/>
              <w:bottom w:w="100" w:type="dxa"/>
              <w:end w:w="120" w:type="dxa"/>
            </w:tcMar>
            <w:vAlign w:val="center"/>
          </w:tcPr>
          <w:p>
            <w:r>
              <w:rPr>
                <w:b/>
                <w:color w:val="FFFFFF"/>
                <w:sz w:val="18"/>
              </w:rPr>
              <w:t>Groupe</w:t>
            </w:r>
          </w:p>
        </w:tc>
        <w:tc>
          <w:tcPr>
            <w:tcW w:type="dxa" w:w="3456"/>
            <w:shd w:fill="17365D"/>
            <w:tcMar>
              <w:top w:w="100" w:type="dxa"/>
              <w:start w:w="120" w:type="dxa"/>
              <w:bottom w:w="100" w:type="dxa"/>
              <w:end w:w="120" w:type="dxa"/>
            </w:tcMar>
            <w:vAlign w:val="center"/>
          </w:tcPr>
          <w:p>
            <w:r>
              <w:rPr>
                <w:b/>
                <w:color w:val="FFFFFF"/>
                <w:sz w:val="18"/>
              </w:rPr>
              <w:t>Contenu</w:t>
            </w:r>
          </w:p>
        </w:tc>
        <w:tc>
          <w:tcPr>
            <w:tcW w:type="dxa" w:w="4032"/>
            <w:shd w:fill="17365D"/>
            <w:tcMar>
              <w:top w:w="100" w:type="dxa"/>
              <w:start w:w="120" w:type="dxa"/>
              <w:bottom w:w="100" w:type="dxa"/>
              <w:end w:w="120" w:type="dxa"/>
            </w:tcMar>
            <w:vAlign w:val="center"/>
          </w:tcPr>
          <w:p>
            <w:r>
              <w:rPr>
                <w:b/>
                <w:color w:val="FFFFFF"/>
                <w:sz w:val="18"/>
              </w:rPr>
              <w:t>Finalité</w:t>
            </w:r>
          </w:p>
        </w:tc>
      </w:tr>
      <w:tr>
        <w:tc>
          <w:tcPr>
            <w:tcW w:type="dxa" w:w="2304"/>
            <w:tcMar>
              <w:top w:w="100" w:type="dxa"/>
              <w:start w:w="120" w:type="dxa"/>
              <w:bottom w:w="100" w:type="dxa"/>
              <w:end w:w="120" w:type="dxa"/>
            </w:tcMar>
            <w:vAlign w:val="center"/>
          </w:tcPr>
          <w:p>
            <w:r>
              <w:rPr>
                <w:sz w:val="17"/>
              </w:rPr>
              <w:t>groupeAnalyse</w:t>
            </w:r>
          </w:p>
        </w:tc>
        <w:tc>
          <w:tcPr>
            <w:tcW w:type="dxa" w:w="3456"/>
            <w:tcMar>
              <w:top w:w="100" w:type="dxa"/>
              <w:start w:w="120" w:type="dxa"/>
              <w:bottom w:w="100" w:type="dxa"/>
              <w:end w:w="120" w:type="dxa"/>
            </w:tcMar>
            <w:vAlign w:val="center"/>
          </w:tcPr>
          <w:p>
            <w:r>
              <w:rPr>
                <w:sz w:val="17"/>
              </w:rPr>
              <w:t>sources et analyseurs</w:t>
            </w:r>
          </w:p>
        </w:tc>
        <w:tc>
          <w:tcPr>
            <w:tcW w:type="dxa" w:w="4032"/>
            <w:tcMar>
              <w:top w:w="100" w:type="dxa"/>
              <w:start w:w="120" w:type="dxa"/>
              <w:bottom w:w="100" w:type="dxa"/>
              <w:end w:w="120" w:type="dxa"/>
            </w:tcMar>
            <w:vAlign w:val="center"/>
          </w:tcPr>
          <w:p>
            <w:r>
              <w:rPr>
                <w:sz w:val="17"/>
              </w:rPr>
              <w:t>alimente busAnalyzeIn/busRecAudioIn et SendReply</w:t>
            </w:r>
          </w:p>
        </w:tc>
      </w:tr>
      <w:tr>
        <w:tc>
          <w:tcPr>
            <w:tcW w:type="dxa" w:w="2304"/>
            <w:tcMar>
              <w:top w:w="100" w:type="dxa"/>
              <w:start w:w="120" w:type="dxa"/>
              <w:bottom w:w="100" w:type="dxa"/>
              <w:end w:w="120" w:type="dxa"/>
            </w:tcMar>
            <w:vAlign w:val="center"/>
            <w:shd w:fill="F5F8FA"/>
          </w:tcPr>
          <w:p>
            <w:r>
              <w:rPr>
                <w:sz w:val="17"/>
              </w:rPr>
              <w:t>groupeRecBuffer</w:t>
            </w:r>
          </w:p>
        </w:tc>
        <w:tc>
          <w:tcPr>
            <w:tcW w:type="dxa" w:w="3456"/>
            <w:tcMar>
              <w:top w:w="100" w:type="dxa"/>
              <w:start w:w="120" w:type="dxa"/>
              <w:bottom w:w="100" w:type="dxa"/>
              <w:end w:w="120" w:type="dxa"/>
            </w:tcMar>
            <w:vAlign w:val="center"/>
            <w:shd w:fill="F5F8FA"/>
          </w:tcPr>
          <w:p>
            <w:r>
              <w:rPr>
                <w:sz w:val="17"/>
              </w:rPr>
              <w:t>RecordBuf</w:t>
            </w:r>
          </w:p>
        </w:tc>
        <w:tc>
          <w:tcPr>
            <w:tcW w:type="dxa" w:w="4032"/>
            <w:tcMar>
              <w:top w:w="100" w:type="dxa"/>
              <w:start w:w="120" w:type="dxa"/>
              <w:bottom w:w="100" w:type="dxa"/>
              <w:end w:w="120" w:type="dxa"/>
            </w:tcMar>
            <w:vAlign w:val="center"/>
            <w:shd w:fill="F5F8FA"/>
          </w:tcPr>
          <w:p>
            <w:r>
              <w:rPr>
                <w:sz w:val="17"/>
              </w:rPr>
              <w:t>capture de fragments pour samplers</w:t>
            </w:r>
          </w:p>
        </w:tc>
      </w:tr>
      <w:tr>
        <w:tc>
          <w:tcPr>
            <w:tcW w:type="dxa" w:w="2304"/>
            <w:tcMar>
              <w:top w:w="100" w:type="dxa"/>
              <w:start w:w="120" w:type="dxa"/>
              <w:bottom w:w="100" w:type="dxa"/>
              <w:end w:w="120" w:type="dxa"/>
            </w:tcMar>
            <w:vAlign w:val="center"/>
          </w:tcPr>
          <w:p>
            <w:r>
              <w:rPr>
                <w:sz w:val="17"/>
              </w:rPr>
              <w:t>groupeSynth</w:t>
            </w:r>
          </w:p>
        </w:tc>
        <w:tc>
          <w:tcPr>
            <w:tcW w:type="dxa" w:w="3456"/>
            <w:tcMar>
              <w:top w:w="100" w:type="dxa"/>
              <w:start w:w="120" w:type="dxa"/>
              <w:bottom w:w="100" w:type="dxa"/>
              <w:end w:w="120" w:type="dxa"/>
            </w:tcMar>
            <w:vAlign w:val="center"/>
          </w:tcPr>
          <w:p>
            <w:r>
              <w:rPr>
                <w:sz w:val="17"/>
              </w:rPr>
              <w:t>patterns et synthés Stream</w:t>
            </w:r>
          </w:p>
        </w:tc>
        <w:tc>
          <w:tcPr>
            <w:tcW w:type="dxa" w:w="4032"/>
            <w:tcMar>
              <w:top w:w="100" w:type="dxa"/>
              <w:start w:w="120" w:type="dxa"/>
              <w:bottom w:w="100" w:type="dxa"/>
              <w:end w:w="120" w:type="dxa"/>
            </w:tcMar>
            <w:vAlign w:val="center"/>
          </w:tcPr>
          <w:p>
            <w:r>
              <w:rPr>
                <w:sz w:val="17"/>
              </w:rPr>
              <w:t>production monophonique sur bus internes</w:t>
            </w:r>
          </w:p>
        </w:tc>
      </w:tr>
      <w:tr>
        <w:tc>
          <w:tcPr>
            <w:tcW w:type="dxa" w:w="2304"/>
            <w:tcMar>
              <w:top w:w="100" w:type="dxa"/>
              <w:start w:w="120" w:type="dxa"/>
              <w:bottom w:w="100" w:type="dxa"/>
              <w:end w:w="120" w:type="dxa"/>
            </w:tcMar>
            <w:vAlign w:val="center"/>
            <w:shd w:fill="F5F8FA"/>
          </w:tcPr>
          <w:p>
            <w:r>
              <w:rPr>
                <w:sz w:val="17"/>
              </w:rPr>
              <w:t>groupeFX</w:t>
            </w:r>
          </w:p>
        </w:tc>
        <w:tc>
          <w:tcPr>
            <w:tcW w:type="dxa" w:w="3456"/>
            <w:tcMar>
              <w:top w:w="100" w:type="dxa"/>
              <w:start w:w="120" w:type="dxa"/>
              <w:bottom w:w="100" w:type="dxa"/>
              <w:end w:w="120" w:type="dxa"/>
            </w:tcMar>
            <w:vAlign w:val="center"/>
            <w:shd w:fill="F5F8FA"/>
          </w:tcPr>
          <w:p>
            <w:r>
              <w:rPr>
                <w:sz w:val="17"/>
              </w:rPr>
              <w:t>effet par voix</w:t>
            </w:r>
          </w:p>
        </w:tc>
        <w:tc>
          <w:tcPr>
            <w:tcW w:type="dxa" w:w="4032"/>
            <w:tcMar>
              <w:top w:w="100" w:type="dxa"/>
              <w:start w:w="120" w:type="dxa"/>
              <w:bottom w:w="100" w:type="dxa"/>
              <w:end w:w="120" w:type="dxa"/>
            </w:tcMar>
            <w:vAlign w:val="center"/>
            <w:shd w:fill="F5F8FA"/>
          </w:tcPr>
          <w:p>
            <w:r>
              <w:rPr>
                <w:sz w:val="17"/>
              </w:rPr>
              <w:t>lecture/écriture du même bus de voix</w:t>
            </w:r>
          </w:p>
        </w:tc>
      </w:tr>
      <w:tr>
        <w:tc>
          <w:tcPr>
            <w:tcW w:type="dxa" w:w="2304"/>
            <w:tcMar>
              <w:top w:w="100" w:type="dxa"/>
              <w:start w:w="120" w:type="dxa"/>
              <w:bottom w:w="100" w:type="dxa"/>
              <w:end w:w="120" w:type="dxa"/>
            </w:tcMar>
            <w:vAlign w:val="center"/>
          </w:tcPr>
          <w:p>
            <w:r>
              <w:rPr>
                <w:sz w:val="17"/>
              </w:rPr>
              <w:t>groupeMasterOut</w:t>
            </w:r>
          </w:p>
        </w:tc>
        <w:tc>
          <w:tcPr>
            <w:tcW w:type="dxa" w:w="3456"/>
            <w:tcMar>
              <w:top w:w="100" w:type="dxa"/>
              <w:start w:w="120" w:type="dxa"/>
              <w:bottom w:w="100" w:type="dxa"/>
              <w:end w:w="120" w:type="dxa"/>
            </w:tcMar>
            <w:vAlign w:val="center"/>
          </w:tcPr>
          <w:p>
            <w:r>
              <w:rPr>
                <w:sz w:val="17"/>
              </w:rPr>
              <w:t>spatialisation et sortie</w:t>
            </w:r>
          </w:p>
        </w:tc>
        <w:tc>
          <w:tcPr>
            <w:tcW w:type="dxa" w:w="4032"/>
            <w:tcMar>
              <w:top w:w="100" w:type="dxa"/>
              <w:start w:w="120" w:type="dxa"/>
              <w:bottom w:w="100" w:type="dxa"/>
              <w:end w:w="120" w:type="dxa"/>
            </w:tcMar>
            <w:vAlign w:val="center"/>
          </w:tcPr>
          <w:p>
            <w:r>
              <w:rPr>
                <w:sz w:val="17"/>
              </w:rPr>
              <w:t>convertit bus mono en format de diffusion</w:t>
            </w:r>
          </w:p>
        </w:tc>
      </w:tr>
      <w:tr>
        <w:tc>
          <w:tcPr>
            <w:tcW w:type="dxa" w:w="2304"/>
            <w:tcMar>
              <w:top w:w="100" w:type="dxa"/>
              <w:start w:w="120" w:type="dxa"/>
              <w:bottom w:w="100" w:type="dxa"/>
              <w:end w:w="120" w:type="dxa"/>
            </w:tcMar>
            <w:vAlign w:val="center"/>
            <w:shd w:fill="F5F8FA"/>
          </w:tcPr>
          <w:p>
            <w:r>
              <w:rPr>
                <w:sz w:val="17"/>
              </w:rPr>
              <w:t>groupeVerb</w:t>
            </w:r>
          </w:p>
        </w:tc>
        <w:tc>
          <w:tcPr>
            <w:tcW w:type="dxa" w:w="3456"/>
            <w:tcMar>
              <w:top w:w="100" w:type="dxa"/>
              <w:start w:w="120" w:type="dxa"/>
              <w:bottom w:w="100" w:type="dxa"/>
              <w:end w:w="120" w:type="dxa"/>
            </w:tcMar>
            <w:vAlign w:val="center"/>
            <w:shd w:fill="F5F8FA"/>
          </w:tcPr>
          <w:p>
            <w:r>
              <w:rPr>
                <w:sz w:val="17"/>
              </w:rPr>
              <w:t>réverbération globale</w:t>
            </w:r>
          </w:p>
        </w:tc>
        <w:tc>
          <w:tcPr>
            <w:tcW w:type="dxa" w:w="4032"/>
            <w:tcMar>
              <w:top w:w="100" w:type="dxa"/>
              <w:start w:w="120" w:type="dxa"/>
              <w:bottom w:w="100" w:type="dxa"/>
              <w:end w:w="120" w:type="dxa"/>
            </w:tcMar>
            <w:vAlign w:val="center"/>
            <w:shd w:fill="F5F8FA"/>
          </w:tcPr>
          <w:p>
            <w:r>
              <w:rPr>
                <w:sz w:val="17"/>
              </w:rPr>
              <w:t>traitement des canaux de sortie</w:t>
            </w:r>
          </w:p>
        </w:tc>
      </w:tr>
      <w:tr>
        <w:tc>
          <w:tcPr>
            <w:tcW w:type="dxa" w:w="2304"/>
            <w:tcMar>
              <w:top w:w="100" w:type="dxa"/>
              <w:start w:w="120" w:type="dxa"/>
              <w:bottom w:w="100" w:type="dxa"/>
              <w:end w:w="120" w:type="dxa"/>
            </w:tcMar>
            <w:vAlign w:val="center"/>
          </w:tcPr>
          <w:p>
            <w:r>
              <w:rPr>
                <w:sz w:val="17"/>
              </w:rPr>
              <w:t>groupeVST</w:t>
            </w:r>
          </w:p>
        </w:tc>
        <w:tc>
          <w:tcPr>
            <w:tcW w:type="dxa" w:w="3456"/>
            <w:tcMar>
              <w:top w:w="100" w:type="dxa"/>
              <w:start w:w="120" w:type="dxa"/>
              <w:bottom w:w="100" w:type="dxa"/>
              <w:end w:w="120" w:type="dxa"/>
            </w:tcMar>
            <w:vAlign w:val="center"/>
          </w:tcPr>
          <w:p>
            <w:r>
              <w:rPr>
                <w:sz w:val="17"/>
              </w:rPr>
              <w:t>pont VST</w:t>
            </w:r>
          </w:p>
        </w:tc>
        <w:tc>
          <w:tcPr>
            <w:tcW w:type="dxa" w:w="4032"/>
            <w:tcMar>
              <w:top w:w="100" w:type="dxa"/>
              <w:start w:w="120" w:type="dxa"/>
              <w:bottom w:w="100" w:type="dxa"/>
              <w:end w:w="120" w:type="dxa"/>
            </w:tcMar>
            <w:vAlign w:val="center"/>
          </w:tcPr>
          <w:p>
            <w:r>
              <w:rPr>
                <w:sz w:val="17"/>
              </w:rPr>
              <w:t>audio/MIDI externe</w:t>
            </w:r>
          </w:p>
        </w:tc>
      </w:tr>
      <w:tr>
        <w:tc>
          <w:tcPr>
            <w:tcW w:type="dxa" w:w="2304"/>
            <w:tcMar>
              <w:top w:w="100" w:type="dxa"/>
              <w:start w:w="120" w:type="dxa"/>
              <w:bottom w:w="100" w:type="dxa"/>
              <w:end w:w="120" w:type="dxa"/>
            </w:tcMar>
            <w:vAlign w:val="center"/>
            <w:shd w:fill="F5F8FA"/>
          </w:tcPr>
          <w:p>
            <w:r>
              <w:rPr>
                <w:sz w:val="17"/>
              </w:rPr>
              <w:t>groupeLimiter</w:t>
            </w:r>
          </w:p>
        </w:tc>
        <w:tc>
          <w:tcPr>
            <w:tcW w:type="dxa" w:w="3456"/>
            <w:tcMar>
              <w:top w:w="100" w:type="dxa"/>
              <w:start w:w="120" w:type="dxa"/>
              <w:bottom w:w="100" w:type="dxa"/>
              <w:end w:w="120" w:type="dxa"/>
            </w:tcMar>
            <w:vAlign w:val="center"/>
            <w:shd w:fill="F5F8FA"/>
          </w:tcPr>
          <w:p>
            <w:r>
              <w:rPr>
                <w:sz w:val="17"/>
              </w:rPr>
              <w:t>protection finale</w:t>
            </w:r>
          </w:p>
        </w:tc>
        <w:tc>
          <w:tcPr>
            <w:tcW w:type="dxa" w:w="4032"/>
            <w:tcMar>
              <w:top w:w="100" w:type="dxa"/>
              <w:start w:w="120" w:type="dxa"/>
              <w:bottom w:w="100" w:type="dxa"/>
              <w:end w:w="120" w:type="dxa"/>
            </w:tcMar>
            <w:vAlign w:val="center"/>
            <w:shd w:fill="F5F8FA"/>
          </w:tcPr>
          <w:p>
            <w:r>
              <w:rPr>
                <w:sz w:val="17"/>
              </w:rPr>
              <w:t>limiteur en queue</w:t>
            </w:r>
          </w:p>
        </w:tc>
      </w:tr>
    </w:tbl>
    <w:p/>
    <w:tbl>
      <w:tblPr>
        <w:tblW w:type="auto" w:w="0"/>
        <w:jc w:val="center"/>
        <w:tblLook w:firstColumn="1" w:firstRow="1" w:lastColumn="0" w:lastRow="0" w:noHBand="0" w:noVBand="1" w:val="04A0"/>
      </w:tblPr>
      <w:tblGrid>
        <w:gridCol w:w="9994"/>
      </w:tblGrid>
      <w:tr>
        <w:tc>
          <w:tcPr>
            <w:tcW w:type="dxa" w:w="9994"/>
            <w:shd w:fill="E8F1F5"/>
            <w:tcMar>
              <w:top w:w="140" w:type="dxa"/>
              <w:start w:w="160" w:type="dxa"/>
              <w:bottom w:w="140" w:type="dxa"/>
              <w:end w:w="160" w:type="dxa"/>
            </w:tcMar>
          </w:tcPr>
          <w:p>
            <w:r>
              <w:rPr>
                <w:b/>
                <w:color w:val="D6A84B"/>
                <w:sz w:val="22"/>
              </w:rPr>
              <w:t>Point d’attention</w:t>
              <w:br/>
            </w:r>
            <w:r>
              <w:t>Les groupes sont des ParGroup ajoutés successivement. Les dépendances de lecture/écriture reposent donc sur leur ordre global au serveur et sur les addAction choisis.</w:t>
            </w:r>
          </w:p>
        </w:tc>
      </w:tr>
    </w:tbl>
    <w:p>
      <w:pPr>
        <w:spacing w:after="0"/>
      </w:pPr>
    </w:p>
    <w:p>
      <w:pPr>
        <w:pStyle w:val="Heading1"/>
        <w:keepNext/>
      </w:pPr>
      <w:r>
        <w:t>4. Sources et analyse</w:t>
      </w:r>
    </w:p>
    <w:p>
      <w:r>
        <w:t>Deux bus mono structurent l’entrée: busAnalyzeIn pour l’analyse et busRecAudioIn pour la capture/lecture des samplers. AudioIn copie SoundIn vers l’analyse; AnalyzeAudioIn et RecAudioIn permettent de choisir séparément les canaux. FileIn lit un buffer stéréo, le réduit en mono pour analyse et envoie aussi le signal vers le bus d’enregistrement.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7365D"/>
            <w:tcMar>
              <w:top w:w="100" w:type="dxa"/>
              <w:start w:w="120" w:type="dxa"/>
              <w:bottom w:w="100" w:type="dxa"/>
              <w:end w:w="120" w:type="dxa"/>
            </w:tcMar>
            <w:vAlign w:val="center"/>
          </w:tcPr>
          <w:p>
            <w:r>
              <w:rPr>
                <w:b/>
                <w:color w:val="FFFFFF"/>
                <w:sz w:val="18"/>
              </w:rPr>
              <w:t>Analyseur</w:t>
            </w:r>
          </w:p>
        </w:tc>
        <w:tc>
          <w:tcPr>
            <w:tcW w:type="dxa" w:w="3888"/>
            <w:shd w:fill="17365D"/>
            <w:tcMar>
              <w:top w:w="100" w:type="dxa"/>
              <w:start w:w="120" w:type="dxa"/>
              <w:bottom w:w="100" w:type="dxa"/>
              <w:end w:w="120" w:type="dxa"/>
            </w:tcMar>
            <w:vAlign w:val="center"/>
          </w:tcPr>
          <w:p>
            <w:r>
              <w:rPr>
                <w:b/>
                <w:color w:val="FFFFFF"/>
                <w:sz w:val="18"/>
              </w:rPr>
              <w:t>Déclencheur</w:t>
            </w:r>
          </w:p>
        </w:tc>
        <w:tc>
          <w:tcPr>
            <w:tcW w:type="dxa" w:w="4032"/>
            <w:shd w:fill="17365D"/>
            <w:tcMar>
              <w:top w:w="100" w:type="dxa"/>
              <w:start w:w="120" w:type="dxa"/>
              <w:bottom w:w="100" w:type="dxa"/>
              <w:end w:w="120" w:type="dxa"/>
            </w:tcMar>
            <w:vAlign w:val="center"/>
          </w:tcPr>
          <w:p>
            <w:r>
              <w:rPr>
                <w:b/>
                <w:color w:val="FFFFFF"/>
                <w:sz w:val="18"/>
              </w:rPr>
              <w:t>Extraction de hauteur</w:t>
            </w:r>
          </w:p>
        </w:tc>
      </w:tr>
      <w:tr>
        <w:tc>
          <w:tcPr>
            <w:tcW w:type="dxa" w:w="1872"/>
            <w:tcMar>
              <w:top w:w="100" w:type="dxa"/>
              <w:start w:w="120" w:type="dxa"/>
              <w:bottom w:w="100" w:type="dxa"/>
              <w:end w:w="120" w:type="dxa"/>
            </w:tcMar>
            <w:vAlign w:val="center"/>
          </w:tcPr>
          <w:p>
            <w:r>
              <w:rPr>
                <w:sz w:val="17"/>
              </w:rPr>
              <w:t>Onsets</w:t>
            </w:r>
          </w:p>
        </w:tc>
        <w:tc>
          <w:tcPr>
            <w:tcW w:type="dxa" w:w="3888"/>
            <w:tcMar>
              <w:top w:w="100" w:type="dxa"/>
              <w:start w:w="120" w:type="dxa"/>
              <w:bottom w:w="100" w:type="dxa"/>
              <w:end w:w="120" w:type="dxa"/>
            </w:tcMar>
            <w:vAlign w:val="center"/>
          </w:tcPr>
          <w:p>
            <w:r>
              <w:rPr>
                <w:sz w:val="17"/>
              </w:rPr>
              <w:t>Onsets power, FFT 512</w:t>
            </w:r>
          </w:p>
        </w:tc>
        <w:tc>
          <w:tcPr>
            <w:tcW w:type="dxa" w:w="4032"/>
            <w:tcMar>
              <w:top w:w="100" w:type="dxa"/>
              <w:start w:w="120" w:type="dxa"/>
              <w:bottom w:w="100" w:type="dxa"/>
              <w:end w:w="120" w:type="dxa"/>
            </w:tcMar>
            <w:vAlign w:val="center"/>
          </w:tcPr>
          <w:p>
            <w:r>
              <w:rPr>
                <w:sz w:val="17"/>
              </w:rPr>
              <w:t>Tartini</w:t>
            </w:r>
          </w:p>
        </w:tc>
      </w:tr>
      <w:tr>
        <w:tc>
          <w:tcPr>
            <w:tcW w:type="dxa" w:w="1872"/>
            <w:tcMar>
              <w:top w:w="100" w:type="dxa"/>
              <w:start w:w="120" w:type="dxa"/>
              <w:bottom w:w="100" w:type="dxa"/>
              <w:end w:w="120" w:type="dxa"/>
            </w:tcMar>
            <w:vAlign w:val="center"/>
            <w:shd w:fill="F5F8FA"/>
          </w:tcPr>
          <w:p>
            <w:r>
              <w:rPr>
                <w:sz w:val="17"/>
              </w:rPr>
              <w:t>Pitch</w:t>
            </w:r>
          </w:p>
        </w:tc>
        <w:tc>
          <w:tcPr>
            <w:tcW w:type="dxa" w:w="3888"/>
            <w:tcMar>
              <w:top w:w="100" w:type="dxa"/>
              <w:start w:w="120" w:type="dxa"/>
              <w:bottom w:w="100" w:type="dxa"/>
              <w:end w:w="120" w:type="dxa"/>
            </w:tcMar>
            <w:vAlign w:val="center"/>
            <w:shd w:fill="F5F8FA"/>
          </w:tcPr>
          <w:p>
            <w:r>
              <w:rPr>
                <w:sz w:val="17"/>
              </w:rPr>
              <w:t>Onsets rcomplex, FFT 512</w:t>
            </w:r>
          </w:p>
        </w:tc>
        <w:tc>
          <w:tcPr>
            <w:tcW w:type="dxa" w:w="4032"/>
            <w:tcMar>
              <w:top w:w="100" w:type="dxa"/>
              <w:start w:w="120" w:type="dxa"/>
              <w:bottom w:w="100" w:type="dxa"/>
              <w:end w:w="120" w:type="dxa"/>
            </w:tcMar>
            <w:vAlign w:val="center"/>
            <w:shd w:fill="F5F8FA"/>
          </w:tcPr>
          <w:p>
            <w:r>
              <w:rPr>
                <w:sz w:val="17"/>
              </w:rPr>
              <w:t>Pitch 32–4186 Hz</w:t>
            </w:r>
          </w:p>
        </w:tc>
      </w:tr>
      <w:tr>
        <w:tc>
          <w:tcPr>
            <w:tcW w:type="dxa" w:w="1872"/>
            <w:tcMar>
              <w:top w:w="100" w:type="dxa"/>
              <w:start w:w="120" w:type="dxa"/>
              <w:bottom w:w="100" w:type="dxa"/>
              <w:end w:w="120" w:type="dxa"/>
            </w:tcMar>
            <w:vAlign w:val="center"/>
          </w:tcPr>
          <w:p>
            <w:r>
              <w:rPr>
                <w:sz w:val="17"/>
              </w:rPr>
              <w:t>Pitch2</w:t>
            </w:r>
          </w:p>
        </w:tc>
        <w:tc>
          <w:tcPr>
            <w:tcW w:type="dxa" w:w="3888"/>
            <w:tcMar>
              <w:top w:w="100" w:type="dxa"/>
              <w:start w:w="120" w:type="dxa"/>
              <w:bottom w:w="100" w:type="dxa"/>
              <w:end w:w="120" w:type="dxa"/>
            </w:tcMar>
            <w:vAlign w:val="center"/>
          </w:tcPr>
          <w:p>
            <w:r>
              <w:rPr>
                <w:sz w:val="17"/>
              </w:rPr>
              <w:t>Onsets sur composante percussive</w:t>
            </w:r>
          </w:p>
        </w:tc>
        <w:tc>
          <w:tcPr>
            <w:tcW w:type="dxa" w:w="4032"/>
            <w:tcMar>
              <w:top w:w="100" w:type="dxa"/>
              <w:start w:w="120" w:type="dxa"/>
              <w:bottom w:w="100" w:type="dxa"/>
              <w:end w:w="120" w:type="dxa"/>
            </w:tcMar>
            <w:vAlign w:val="center"/>
          </w:tcPr>
          <w:p>
            <w:r>
              <w:rPr>
                <w:sz w:val="17"/>
              </w:rPr>
              <w:t>Pitch sur composante harmonique après MedianSeparation</w:t>
            </w:r>
          </w:p>
        </w:tc>
      </w:tr>
      <w:tr>
        <w:tc>
          <w:tcPr>
            <w:tcW w:type="dxa" w:w="1872"/>
            <w:tcMar>
              <w:top w:w="100" w:type="dxa"/>
              <w:start w:w="120" w:type="dxa"/>
              <w:bottom w:w="100" w:type="dxa"/>
              <w:end w:w="120" w:type="dxa"/>
            </w:tcMar>
            <w:vAlign w:val="center"/>
            <w:shd w:fill="F5F8FA"/>
          </w:tcPr>
          <w:p>
            <w:r>
              <w:rPr>
                <w:sz w:val="17"/>
              </w:rPr>
              <w:t>KeyTrack</w:t>
            </w:r>
          </w:p>
        </w:tc>
        <w:tc>
          <w:tcPr>
            <w:tcW w:type="dxa" w:w="3888"/>
            <w:tcMar>
              <w:top w:w="100" w:type="dxa"/>
              <w:start w:w="120" w:type="dxa"/>
              <w:bottom w:w="100" w:type="dxa"/>
              <w:end w:w="120" w:type="dxa"/>
            </w:tcMar>
            <w:vAlign w:val="center"/>
            <w:shd w:fill="F5F8FA"/>
          </w:tcPr>
          <w:p>
            <w:r>
              <w:rPr>
                <w:sz w:val="17"/>
              </w:rPr>
              <w:t>Onsets générique</w:t>
            </w:r>
          </w:p>
        </w:tc>
        <w:tc>
          <w:tcPr>
            <w:tcW w:type="dxa" w:w="4032"/>
            <w:tcMar>
              <w:top w:w="100" w:type="dxa"/>
              <w:start w:w="120" w:type="dxa"/>
              <w:bottom w:w="100" w:type="dxa"/>
              <w:end w:w="120" w:type="dxa"/>
            </w:tcMar>
            <w:vAlign w:val="center"/>
            <w:shd w:fill="F5F8FA"/>
          </w:tcPr>
          <w:p>
            <w:r>
              <w:rPr>
                <w:sz w:val="17"/>
              </w:rPr>
              <w:t>classe KeyTrack ramenée autour de MIDI 60</w:t>
            </w:r>
          </w:p>
        </w:tc>
      </w:tr>
      <w:tr>
        <w:tc>
          <w:tcPr>
            <w:tcW w:type="dxa" w:w="1872"/>
            <w:tcMar>
              <w:top w:w="100" w:type="dxa"/>
              <w:start w:w="120" w:type="dxa"/>
              <w:bottom w:w="100" w:type="dxa"/>
              <w:end w:w="120" w:type="dxa"/>
            </w:tcMar>
            <w:vAlign w:val="center"/>
          </w:tcPr>
          <w:p>
            <w:r>
              <w:rPr>
                <w:sz w:val="17"/>
              </w:rPr>
              <w:t>Keyboard/MIDI</w:t>
            </w:r>
          </w:p>
        </w:tc>
        <w:tc>
          <w:tcPr>
            <w:tcW w:type="dxa" w:w="3888"/>
            <w:tcMar>
              <w:top w:w="100" w:type="dxa"/>
              <w:start w:w="120" w:type="dxa"/>
              <w:bottom w:w="100" w:type="dxa"/>
              <w:end w:w="120" w:type="dxa"/>
            </w:tcMar>
            <w:vAlign w:val="center"/>
          </w:tcPr>
          <w:p>
            <w:r>
              <w:rPr>
                <w:sz w:val="17"/>
              </w:rPr>
              <w:t>trigger explicite</w:t>
            </w:r>
          </w:p>
        </w:tc>
        <w:tc>
          <w:tcPr>
            <w:tcW w:type="dxa" w:w="4032"/>
            <w:tcMar>
              <w:top w:w="100" w:type="dxa"/>
              <w:start w:w="120" w:type="dxa"/>
              <w:bottom w:w="100" w:type="dxa"/>
              <w:end w:w="120" w:type="dxa"/>
            </w:tcMar>
            <w:vAlign w:val="center"/>
          </w:tcPr>
          <w:p>
            <w:r>
              <w:rPr>
                <w:sz w:val="17"/>
              </w:rPr>
              <w:t>note déjà exprimée en Hz</w:t>
            </w:r>
          </w:p>
        </w:tc>
      </w:tr>
    </w:tbl>
    <w:p/>
    <w:p>
      <w:pPr>
        <w:pStyle w:val="Heading1"/>
        <w:keepNext/>
      </w:pPr>
      <w:r>
        <w:t>5. Descripteurs FFT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7365D"/>
            <w:tcMar>
              <w:top w:w="100" w:type="dxa"/>
              <w:start w:w="120" w:type="dxa"/>
              <w:bottom w:w="100" w:type="dxa"/>
              <w:end w:w="120" w:type="dxa"/>
            </w:tcMar>
            <w:vAlign w:val="center"/>
          </w:tcPr>
          <w:p>
            <w:r>
              <w:rPr>
                <w:b/>
                <w:color w:val="FFFFFF"/>
                <w:sz w:val="18"/>
              </w:rPr>
              <w:t>Donnée</w:t>
            </w:r>
          </w:p>
        </w:tc>
        <w:tc>
          <w:tcPr>
            <w:tcW w:type="dxa" w:w="2880"/>
            <w:shd w:fill="17365D"/>
            <w:tcMar>
              <w:top w:w="100" w:type="dxa"/>
              <w:start w:w="120" w:type="dxa"/>
              <w:bottom w:w="100" w:type="dxa"/>
              <w:end w:w="120" w:type="dxa"/>
            </w:tcMar>
            <w:vAlign w:val="center"/>
          </w:tcPr>
          <w:p>
            <w:r>
              <w:rPr>
                <w:b/>
                <w:color w:val="FFFFFF"/>
                <w:sz w:val="18"/>
              </w:rPr>
              <w:t>UGen</w:t>
            </w:r>
          </w:p>
        </w:tc>
        <w:tc>
          <w:tcPr>
            <w:tcW w:type="dxa" w:w="5184"/>
            <w:shd w:fill="17365D"/>
            <w:tcMar>
              <w:top w:w="100" w:type="dxa"/>
              <w:start w:w="120" w:type="dxa"/>
              <w:bottom w:w="100" w:type="dxa"/>
              <w:end w:w="120" w:type="dxa"/>
            </w:tcMar>
            <w:vAlign w:val="center"/>
          </w:tcPr>
          <w:p>
            <w:r>
              <w:rPr>
                <w:b/>
                <w:color w:val="FFFFFF"/>
                <w:sz w:val="18"/>
              </w:rPr>
              <w:t>Plage/logique</w:t>
            </w:r>
          </w:p>
        </w:tc>
      </w:tr>
      <w:tr>
        <w:tc>
          <w:tcPr>
            <w:tcW w:type="dxa" w:w="1728"/>
            <w:tcMar>
              <w:top w:w="100" w:type="dxa"/>
              <w:start w:w="120" w:type="dxa"/>
              <w:bottom w:w="100" w:type="dxa"/>
              <w:end w:w="120" w:type="dxa"/>
            </w:tcMar>
            <w:vAlign w:val="center"/>
          </w:tcPr>
          <w:p>
            <w:r>
              <w:rPr>
                <w:sz w:val="17"/>
              </w:rPr>
              <w:t>flux</w:t>
            </w:r>
          </w:p>
        </w:tc>
        <w:tc>
          <w:tcPr>
            <w:tcW w:type="dxa" w:w="2880"/>
            <w:tcMar>
              <w:top w:w="100" w:type="dxa"/>
              <w:start w:w="120" w:type="dxa"/>
              <w:bottom w:w="100" w:type="dxa"/>
              <w:end w:w="120" w:type="dxa"/>
            </w:tcMar>
            <w:vAlign w:val="center"/>
          </w:tcPr>
          <w:p>
            <w:r>
              <w:rPr>
                <w:sz w:val="17"/>
              </w:rPr>
              <w:t>FFTFlux</w:t>
            </w:r>
          </w:p>
        </w:tc>
        <w:tc>
          <w:tcPr>
            <w:tcW w:type="dxa" w:w="5184"/>
            <w:tcMar>
              <w:top w:w="100" w:type="dxa"/>
              <w:start w:w="120" w:type="dxa"/>
              <w:bottom w:w="100" w:type="dxa"/>
              <w:end w:w="120" w:type="dxa"/>
            </w:tcMar>
            <w:vAlign w:val="center"/>
          </w:tcPr>
          <w:p>
            <w:r>
              <w:rPr>
                <w:sz w:val="17"/>
              </w:rPr>
              <w:t>borné 0.0001–1</w:t>
            </w:r>
          </w:p>
        </w:tc>
      </w:tr>
      <w:tr>
        <w:tc>
          <w:tcPr>
            <w:tcW w:type="dxa" w:w="1728"/>
            <w:tcMar>
              <w:top w:w="100" w:type="dxa"/>
              <w:start w:w="120" w:type="dxa"/>
              <w:bottom w:w="100" w:type="dxa"/>
              <w:end w:w="120" w:type="dxa"/>
            </w:tcMar>
            <w:vAlign w:val="center"/>
            <w:shd w:fill="F5F8FA"/>
          </w:tcPr>
          <w:p>
            <w:r>
              <w:rPr>
                <w:sz w:val="17"/>
              </w:rPr>
              <w:t>flatness</w:t>
            </w:r>
          </w:p>
        </w:tc>
        <w:tc>
          <w:tcPr>
            <w:tcW w:type="dxa" w:w="2880"/>
            <w:tcMar>
              <w:top w:w="100" w:type="dxa"/>
              <w:start w:w="120" w:type="dxa"/>
              <w:bottom w:w="100" w:type="dxa"/>
              <w:end w:w="120" w:type="dxa"/>
            </w:tcMar>
            <w:vAlign w:val="center"/>
            <w:shd w:fill="F5F8FA"/>
          </w:tcPr>
          <w:p>
            <w:r>
              <w:rPr>
                <w:sz w:val="17"/>
              </w:rPr>
              <w:t>SpecFlatness</w:t>
            </w:r>
          </w:p>
        </w:tc>
        <w:tc>
          <w:tcPr>
            <w:tcW w:type="dxa" w:w="5184"/>
            <w:tcMar>
              <w:top w:w="100" w:type="dxa"/>
              <w:start w:w="120" w:type="dxa"/>
              <w:bottom w:w="100" w:type="dxa"/>
              <w:end w:w="120" w:type="dxa"/>
            </w:tcMar>
            <w:vAlign w:val="center"/>
            <w:shd w:fill="F5F8FA"/>
          </w:tcPr>
          <w:p>
            <w:r>
              <w:rPr>
                <w:sz w:val="17"/>
              </w:rPr>
              <w:t>borné 0.0001–1</w:t>
            </w:r>
          </w:p>
        </w:tc>
      </w:tr>
      <w:tr>
        <w:tc>
          <w:tcPr>
            <w:tcW w:type="dxa" w:w="1728"/>
            <w:tcMar>
              <w:top w:w="100" w:type="dxa"/>
              <w:start w:w="120" w:type="dxa"/>
              <w:bottom w:w="100" w:type="dxa"/>
              <w:end w:w="120" w:type="dxa"/>
            </w:tcMar>
            <w:vAlign w:val="center"/>
          </w:tcPr>
          <w:p>
            <w:r>
              <w:rPr>
                <w:sz w:val="17"/>
              </w:rPr>
              <w:t>centroid</w:t>
            </w:r>
          </w:p>
        </w:tc>
        <w:tc>
          <w:tcPr>
            <w:tcW w:type="dxa" w:w="2880"/>
            <w:tcMar>
              <w:top w:w="100" w:type="dxa"/>
              <w:start w:w="120" w:type="dxa"/>
              <w:bottom w:w="100" w:type="dxa"/>
              <w:end w:w="120" w:type="dxa"/>
            </w:tcMar>
            <w:vAlign w:val="center"/>
          </w:tcPr>
          <w:p>
            <w:r>
              <w:rPr>
                <w:sz w:val="17"/>
              </w:rPr>
              <w:t>SpecCentroid</w:t>
            </w:r>
          </w:p>
        </w:tc>
        <w:tc>
          <w:tcPr>
            <w:tcW w:type="dxa" w:w="5184"/>
            <w:tcMar>
              <w:top w:w="100" w:type="dxa"/>
              <w:start w:w="120" w:type="dxa"/>
              <w:bottom w:w="100" w:type="dxa"/>
              <w:end w:w="120" w:type="dxa"/>
            </w:tcMar>
            <w:vAlign w:val="center"/>
          </w:tcPr>
          <w:p>
            <w:r>
              <w:rPr>
                <w:sz w:val="17"/>
              </w:rPr>
              <w:t>20–12544 Hz</w:t>
            </w:r>
          </w:p>
        </w:tc>
      </w:tr>
      <w:tr>
        <w:tc>
          <w:tcPr>
            <w:tcW w:type="dxa" w:w="1728"/>
            <w:tcMar>
              <w:top w:w="100" w:type="dxa"/>
              <w:start w:w="120" w:type="dxa"/>
              <w:bottom w:w="100" w:type="dxa"/>
              <w:end w:w="120" w:type="dxa"/>
            </w:tcMar>
            <w:vAlign w:val="center"/>
            <w:shd w:fill="F5F8FA"/>
          </w:tcPr>
          <w:p>
            <w:r>
              <w:rPr>
                <w:sz w:val="17"/>
              </w:rPr>
              <w:t>energy</w:t>
            </w:r>
          </w:p>
        </w:tc>
        <w:tc>
          <w:tcPr>
            <w:tcW w:type="dxa" w:w="2880"/>
            <w:tcMar>
              <w:top w:w="100" w:type="dxa"/>
              <w:start w:w="120" w:type="dxa"/>
              <w:bottom w:w="100" w:type="dxa"/>
              <w:end w:w="120" w:type="dxa"/>
            </w:tcMar>
            <w:vAlign w:val="center"/>
            <w:shd w:fill="F5F8FA"/>
          </w:tcPr>
          <w:p>
            <w:r>
              <w:rPr>
                <w:sz w:val="17"/>
              </w:rPr>
              <w:t>SpecPcile</w:t>
            </w:r>
          </w:p>
        </w:tc>
        <w:tc>
          <w:tcPr>
            <w:tcW w:type="dxa" w:w="5184"/>
            <w:tcMar>
              <w:top w:w="100" w:type="dxa"/>
              <w:start w:w="120" w:type="dxa"/>
              <w:bottom w:w="100" w:type="dxa"/>
              <w:end w:w="120" w:type="dxa"/>
            </w:tcMar>
            <w:vAlign w:val="center"/>
            <w:shd w:fill="F5F8FA"/>
          </w:tcPr>
          <w:p>
            <w:r>
              <w:rPr>
                <w:sz w:val="17"/>
              </w:rPr>
              <w:t>fréquence percentile 20–12544 Hz</w:t>
            </w:r>
          </w:p>
        </w:tc>
      </w:tr>
      <w:tr>
        <w:tc>
          <w:tcPr>
            <w:tcW w:type="dxa" w:w="1728"/>
            <w:tcMar>
              <w:top w:w="100" w:type="dxa"/>
              <w:start w:w="120" w:type="dxa"/>
              <w:bottom w:w="100" w:type="dxa"/>
              <w:end w:w="120" w:type="dxa"/>
            </w:tcMar>
            <w:vAlign w:val="center"/>
          </w:tcPr>
          <w:p>
            <w:r>
              <w:rPr>
                <w:sz w:val="17"/>
              </w:rPr>
              <w:t>bpm</w:t>
            </w:r>
          </w:p>
        </w:tc>
        <w:tc>
          <w:tcPr>
            <w:tcW w:type="dxa" w:w="2880"/>
            <w:tcMar>
              <w:top w:w="100" w:type="dxa"/>
              <w:start w:w="120" w:type="dxa"/>
              <w:bottom w:w="100" w:type="dxa"/>
              <w:end w:w="120" w:type="dxa"/>
            </w:tcMar>
            <w:vAlign w:val="center"/>
          </w:tcPr>
          <w:p>
            <w:r>
              <w:rPr>
                <w:sz w:val="17"/>
              </w:rPr>
              <w:t>BeatTrack</w:t>
            </w:r>
          </w:p>
        </w:tc>
        <w:tc>
          <w:tcPr>
            <w:tcW w:type="dxa" w:w="5184"/>
            <w:tcMar>
              <w:top w:w="100" w:type="dxa"/>
              <w:start w:w="120" w:type="dxa"/>
              <w:bottom w:w="100" w:type="dxa"/>
              <w:end w:w="120" w:type="dxa"/>
            </w:tcMar>
            <w:vAlign w:val="center"/>
          </w:tcPr>
          <w:p>
            <w:r>
              <w:rPr>
                <w:sz w:val="17"/>
              </w:rPr>
              <w:t>valeur normalisée, affichée ×60</w:t>
            </w:r>
          </w:p>
        </w:tc>
      </w:tr>
    </w:tbl>
    <w:p/>
    <w:p>
      <w:r>
        <w:t>OSC Density FFT envoie ces cinq valeurs à fréquence speed, par défaut 24 Hz. oscFFT normalise éventuellement par Range FFT, écrit les bus de contrôle et alimente des buffers circulaires de taille maximumData.</w:t>
      </w:r>
    </w:p>
    <w:p>
      <w:pPr>
        <w:pStyle w:val="Heading1"/>
        <w:keepNext/>
      </w:pPr>
      <w:r>
        <w:t>6. Réception des événements musicaux</w:t>
      </w:r>
    </w:p>
    <w:p>
      <w:r>
        <w:t>oscMusic reçoit fréquence, amplitude et un timer. La durée réellement mémorisée est calculée depuis lastTime. Une stratégie tampon retarde d’un événement la validation: freqTampon/ampTampon deviennent la valeur mémorisée lorsque le nouvel événement satisfait les seuils de variation.</w:t>
      </w:r>
    </w:p>
    <w:p>
      <w:pPr>
        <w:pStyle w:val="ListNumber"/>
      </w:pPr>
      <w:r>
        <w:t>Rejeter ou réinitialiser si l’écart dépasse dureeMaximumAnalyze, ou memoryTime lorsque la mémoire infinie est inactive.</w:t>
      </w:r>
    </w:p>
    <w:p>
      <w:pPr>
        <w:pStyle w:val="ListNumber"/>
      </w:pPr>
      <w:r>
        <w:t>Tester les écarts de hauteur en demi-tons, d’amplitude en dB et de temps.</w:t>
      </w:r>
    </w:p>
    <w:p>
      <w:pPr>
        <w:pStyle w:val="ListNumber"/>
      </w:pPr>
      <w:r>
        <w:t>Écrire fréquence, amplitude et durée dans les bus et mémoires globales.</w:t>
      </w:r>
    </w:p>
    <w:p>
      <w:pPr>
        <w:pStyle w:val="ListNumber"/>
      </w:pPr>
      <w:r>
        <w:t>Déterminer la bande dont les bornes contiennent la fréquence.</w:t>
      </w:r>
    </w:p>
    <w:p>
      <w:pPr>
        <w:pStyle w:val="ListNumber"/>
      </w:pPr>
      <w:r>
        <w:t>Copier dans cette bande les descripteurs FFT courants et les données musicales.</w:t>
      </w:r>
    </w:p>
    <w:p>
      <w:pPr>
        <w:pStyle w:val="ListNumber"/>
      </w:pPr>
      <w:r>
        <w:t>Mettre à jour les synthés Stream actifs de la bande via computeAlgoFilterDataMusic.</w:t>
      </w:r>
    </w:p>
    <w:p>
      <w:pPr>
        <w:pStyle w:val="Heading1"/>
        <w:keepNext/>
      </w:pPr>
      <w:r>
        <w:t>7. Mémoires circulaires et silence</w:t>
      </w:r>
    </w:p>
    <w:p>
      <w:r>
        <w:t>Chaque famille de données est un tableau de numFhzBand + 1 sous-tableaux. L’indice 0 contient toutes les données. Les autres indices contiennent les événements de chaque bande. Tant que la taille est inférieure à maximumData, les valeurs sont ajoutées; ensuite wrapPut remplace les plus anciennes selon un index indépendant.</w:t>
      </w:r>
    </w:p>
    <w:p>
      <w:pPr>
        <w:pStyle w:val="ListBullet"/>
      </w:pPr>
      <w:r>
        <w:t>WatchSilence compare Main.elapsedTime à dureeAnalyzeOSCMusic.</w:t>
      </w:r>
    </w:p>
    <w:p>
      <w:pPr>
        <w:pStyle w:val="ListBullet"/>
      </w:pPr>
      <w:r>
        <w:t>Après memoryTime sans événement et si flagMemory == off, toutes les mémoires et tous les index sont recréés.</w:t>
      </w:r>
    </w:p>
    <w:p>
      <w:pPr>
        <w:pStyle w:val="ListBullet"/>
      </w:pPr>
      <w:r>
        <w:t>Une bande inactive est également vidée lorsque son propre lastTime dépasse les limites.</w:t>
      </w:r>
    </w:p>
    <w:p>
      <w:pPr>
        <w:pStyle w:val="Heading1"/>
        <w:keepNext/>
      </w:pPr>
      <w:r>
        <w:t>8. Statistiques préparées pour chaque voix</w:t>
      </w:r>
    </w:p>
    <w:p>
      <w:r>
        <w:t>buildSynth lit la mémoire de la bande choisie et produit dataMusicTransform. Les données FFT sont résumées par médiane après ajout éventuel de jitter. Fréquence, amplitude et durée reçoivent quartiles, intervalle interquartile, demi-intervalle, écart-type, coefficient de variation et dissymétrie.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7365D"/>
            <w:tcMar>
              <w:top w:w="100" w:type="dxa"/>
              <w:start w:w="120" w:type="dxa"/>
              <w:bottom w:w="100" w:type="dxa"/>
              <w:end w:w="120" w:type="dxa"/>
            </w:tcMar>
            <w:vAlign w:val="center"/>
          </w:tcPr>
          <w:p>
            <w:r>
              <w:rPr>
                <w:b/>
                <w:color w:val="FFFFFF"/>
                <w:sz w:val="18"/>
              </w:rPr>
              <w:t>Bloc</w:t>
            </w:r>
          </w:p>
        </w:tc>
        <w:tc>
          <w:tcPr>
            <w:tcW w:type="dxa" w:w="7632"/>
            <w:shd w:fill="17365D"/>
            <w:tcMar>
              <w:top w:w="100" w:type="dxa"/>
              <w:start w:w="120" w:type="dxa"/>
              <w:bottom w:w="100" w:type="dxa"/>
              <w:end w:w="120" w:type="dxa"/>
            </w:tcMar>
            <w:vAlign w:val="center"/>
          </w:tcPr>
          <w:p>
            <w:r>
              <w:rPr>
                <w:b/>
                <w:color w:val="FFFFFF"/>
                <w:sz w:val="18"/>
              </w:rPr>
              <w:t>Contenu</w:t>
            </w:r>
          </w:p>
        </w:tc>
      </w:tr>
      <w:tr>
        <w:tc>
          <w:tcPr>
            <w:tcW w:type="dxa" w:w="2160"/>
            <w:tcMar>
              <w:top w:w="100" w:type="dxa"/>
              <w:start w:w="120" w:type="dxa"/>
              <w:bottom w:w="100" w:type="dxa"/>
              <w:end w:w="120" w:type="dxa"/>
            </w:tcMar>
            <w:vAlign w:val="center"/>
          </w:tcPr>
          <w:p>
            <w:r>
              <w:rPr>
                <w:sz w:val="17"/>
              </w:rPr>
              <w:t>data[0]</w:t>
            </w:r>
          </w:p>
        </w:tc>
        <w:tc>
          <w:tcPr>
            <w:tcW w:type="dxa" w:w="7632"/>
            <w:tcMar>
              <w:top w:w="100" w:type="dxa"/>
              <w:start w:w="120" w:type="dxa"/>
              <w:bottom w:w="100" w:type="dxa"/>
              <w:end w:w="120" w:type="dxa"/>
            </w:tcMar>
            <w:vAlign w:val="center"/>
          </w:tcPr>
          <w:p>
            <w:r>
              <w:rPr>
                <w:sz w:val="17"/>
              </w:rPr>
              <w:t>flux, flatness, centroid, energy, bpm</w:t>
            </w:r>
          </w:p>
        </w:tc>
      </w:tr>
      <w:tr>
        <w:tc>
          <w:tcPr>
            <w:tcW w:type="dxa" w:w="2160"/>
            <w:tcMar>
              <w:top w:w="100" w:type="dxa"/>
              <w:start w:w="120" w:type="dxa"/>
              <w:bottom w:w="100" w:type="dxa"/>
              <w:end w:w="120" w:type="dxa"/>
            </w:tcMar>
            <w:vAlign w:val="center"/>
            <w:shd w:fill="F5F8FA"/>
          </w:tcPr>
          <w:p>
            <w:r>
              <w:rPr>
                <w:sz w:val="17"/>
              </w:rPr>
              <w:t>data[1]</w:t>
            </w:r>
          </w:p>
        </w:tc>
        <w:tc>
          <w:tcPr>
            <w:tcW w:type="dxa" w:w="7632"/>
            <w:tcMar>
              <w:top w:w="100" w:type="dxa"/>
              <w:start w:w="120" w:type="dxa"/>
              <w:bottom w:w="100" w:type="dxa"/>
              <w:end w:w="120" w:type="dxa"/>
            </w:tcMar>
            <w:vAlign w:val="center"/>
            <w:shd w:fill="F5F8FA"/>
          </w:tcPr>
          <w:p>
            <w:r>
              <w:rPr>
                <w:sz w:val="17"/>
              </w:rPr>
              <w:t>statistiques des fréquences MIDI normalisées /127</w:t>
            </w:r>
          </w:p>
        </w:tc>
      </w:tr>
      <w:tr>
        <w:tc>
          <w:tcPr>
            <w:tcW w:type="dxa" w:w="2160"/>
            <w:tcMar>
              <w:top w:w="100" w:type="dxa"/>
              <w:start w:w="120" w:type="dxa"/>
              <w:bottom w:w="100" w:type="dxa"/>
              <w:end w:w="120" w:type="dxa"/>
            </w:tcMar>
            <w:vAlign w:val="center"/>
          </w:tcPr>
          <w:p>
            <w:r>
              <w:rPr>
                <w:sz w:val="17"/>
              </w:rPr>
              <w:t>data[2]</w:t>
            </w:r>
          </w:p>
        </w:tc>
        <w:tc>
          <w:tcPr>
            <w:tcW w:type="dxa" w:w="7632"/>
            <w:tcMar>
              <w:top w:w="100" w:type="dxa"/>
              <w:start w:w="120" w:type="dxa"/>
              <w:bottom w:w="100" w:type="dxa"/>
              <w:end w:w="120" w:type="dxa"/>
            </w:tcMar>
            <w:vAlign w:val="center"/>
          </w:tcPr>
          <w:p>
            <w:r>
              <w:rPr>
                <w:sz w:val="17"/>
              </w:rPr>
              <w:t>statistiques des amplitudes</w:t>
            </w:r>
          </w:p>
        </w:tc>
      </w:tr>
      <w:tr>
        <w:tc>
          <w:tcPr>
            <w:tcW w:type="dxa" w:w="2160"/>
            <w:tcMar>
              <w:top w:w="100" w:type="dxa"/>
              <w:start w:w="120" w:type="dxa"/>
              <w:bottom w:w="100" w:type="dxa"/>
              <w:end w:w="120" w:type="dxa"/>
            </w:tcMar>
            <w:vAlign w:val="center"/>
            <w:shd w:fill="F5F8FA"/>
          </w:tcPr>
          <w:p>
            <w:r>
              <w:rPr>
                <w:sz w:val="17"/>
              </w:rPr>
              <w:t>data[3]</w:t>
            </w:r>
          </w:p>
        </w:tc>
        <w:tc>
          <w:tcPr>
            <w:tcW w:type="dxa" w:w="7632"/>
            <w:tcMar>
              <w:top w:w="100" w:type="dxa"/>
              <w:start w:w="120" w:type="dxa"/>
              <w:bottom w:w="100" w:type="dxa"/>
              <w:end w:w="120" w:type="dxa"/>
            </w:tcMar>
            <w:vAlign w:val="center"/>
            <w:shd w:fill="F5F8FA"/>
          </w:tcPr>
          <w:p>
            <w:r>
              <w:rPr>
                <w:sz w:val="17"/>
              </w:rPr>
              <w:t>statistiques des durées normalisées par dureeMaximumAnalyze</w:t>
            </w:r>
          </w:p>
        </w:tc>
      </w:tr>
    </w:tbl>
    <w:p/>
    <w:p>
      <w:pPr>
        <w:pStyle w:val="Heading1"/>
        <w:keepNext/>
      </w:pPr>
      <w:r>
        <w:t>9. Algorithmes de transformation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7365D"/>
            <w:tcMar>
              <w:top w:w="100" w:type="dxa"/>
              <w:start w:w="120" w:type="dxa"/>
              <w:bottom w:w="100" w:type="dxa"/>
              <w:end w:w="120" w:type="dxa"/>
            </w:tcMar>
            <w:vAlign w:val="center"/>
          </w:tcPr>
          <w:p>
            <w:r>
              <w:rPr>
                <w:b/>
                <w:color w:val="FFFFFF"/>
                <w:sz w:val="18"/>
              </w:rPr>
              <w:t>Algorithme</w:t>
            </w:r>
          </w:p>
        </w:tc>
        <w:tc>
          <w:tcPr>
            <w:tcW w:type="dxa" w:w="4608"/>
            <w:shd w:fill="17365D"/>
            <w:tcMar>
              <w:top w:w="100" w:type="dxa"/>
              <w:start w:w="120" w:type="dxa"/>
              <w:bottom w:w="100" w:type="dxa"/>
              <w:end w:w="120" w:type="dxa"/>
            </w:tcMar>
            <w:vAlign w:val="center"/>
          </w:tcPr>
          <w:p>
            <w:r>
              <w:rPr>
                <w:b/>
                <w:color w:val="FFFFFF"/>
                <w:sz w:val="18"/>
              </w:rPr>
              <w:t>Principe</w:t>
            </w:r>
          </w:p>
        </w:tc>
        <w:tc>
          <w:tcPr>
            <w:tcW w:type="dxa" w:w="3456"/>
            <w:shd w:fill="17365D"/>
            <w:tcMar>
              <w:top w:w="100" w:type="dxa"/>
              <w:start w:w="120" w:type="dxa"/>
              <w:bottom w:w="100" w:type="dxa"/>
              <w:end w:w="120" w:type="dxa"/>
            </w:tcMar>
            <w:vAlign w:val="center"/>
          </w:tcPr>
          <w:p>
            <w:r>
              <w:rPr>
                <w:b/>
                <w:color w:val="FFFFFF"/>
                <w:sz w:val="18"/>
              </w:rPr>
              <w:t>Conséquence</w:t>
            </w:r>
          </w:p>
        </w:tc>
      </w:tr>
      <w:tr>
        <w:tc>
          <w:tcPr>
            <w:tcW w:type="dxa" w:w="1728"/>
            <w:tcMar>
              <w:top w:w="100" w:type="dxa"/>
              <w:start w:w="120" w:type="dxa"/>
              <w:bottom w:w="100" w:type="dxa"/>
              <w:end w:w="120" w:type="dxa"/>
            </w:tcMar>
            <w:vAlign w:val="center"/>
          </w:tcPr>
          <w:p>
            <w:r>
              <w:rPr>
                <w:sz w:val="17"/>
              </w:rPr>
              <w:t>Default</w:t>
            </w:r>
          </w:p>
        </w:tc>
        <w:tc>
          <w:tcPr>
            <w:tcW w:type="dxa" w:w="4608"/>
            <w:tcMar>
              <w:top w:w="100" w:type="dxa"/>
              <w:start w:w="120" w:type="dxa"/>
              <w:bottom w:w="100" w:type="dxa"/>
              <w:end w:w="120" w:type="dxa"/>
            </w:tcMar>
            <w:vAlign w:val="center"/>
          </w:tcPr>
          <w:p>
            <w:r>
              <w:rPr>
                <w:sz w:val="17"/>
              </w:rPr>
              <w:t>remappage direct, accord éventuel, plage et quantification</w:t>
            </w:r>
          </w:p>
        </w:tc>
        <w:tc>
          <w:tcPr>
            <w:tcW w:type="dxa" w:w="3456"/>
            <w:tcMar>
              <w:top w:w="100" w:type="dxa"/>
              <w:start w:w="120" w:type="dxa"/>
              <w:bottom w:w="100" w:type="dxa"/>
              <w:end w:w="120" w:type="dxa"/>
            </w:tcMar>
            <w:vAlign w:val="center"/>
          </w:tcPr>
          <w:p>
            <w:r>
              <w:rPr>
                <w:sz w:val="17"/>
              </w:rPr>
              <w:t>fidélité maximale à la mémoire</w:t>
            </w:r>
          </w:p>
        </w:tc>
      </w:tr>
      <w:tr>
        <w:tc>
          <w:tcPr>
            <w:tcW w:type="dxa" w:w="1728"/>
            <w:tcMar>
              <w:top w:w="100" w:type="dxa"/>
              <w:start w:w="120" w:type="dxa"/>
              <w:bottom w:w="100" w:type="dxa"/>
              <w:end w:w="120" w:type="dxa"/>
            </w:tcMar>
            <w:vAlign w:val="center"/>
            <w:shd w:fill="F5F8FA"/>
          </w:tcPr>
          <w:p>
            <w:r>
              <w:rPr>
                <w:sz w:val="17"/>
              </w:rPr>
              <w:t>Probability</w:t>
            </w:r>
          </w:p>
        </w:tc>
        <w:tc>
          <w:tcPr>
            <w:tcW w:type="dxa" w:w="4608"/>
            <w:tcMar>
              <w:top w:w="100" w:type="dxa"/>
              <w:start w:w="120" w:type="dxa"/>
              <w:bottom w:w="100" w:type="dxa"/>
              <w:end w:w="120" w:type="dxa"/>
            </w:tcMar>
            <w:vAlign w:val="center"/>
            <w:shd w:fill="F5F8FA"/>
          </w:tcPr>
          <w:p>
            <w:r>
              <w:rPr>
                <w:sz w:val="17"/>
              </w:rPr>
              <w:t>opérations probabilistes guidées par CV et dissymétrie</w:t>
            </w:r>
          </w:p>
        </w:tc>
        <w:tc>
          <w:tcPr>
            <w:tcW w:type="dxa" w:w="3456"/>
            <w:tcMar>
              <w:top w:w="100" w:type="dxa"/>
              <w:start w:w="120" w:type="dxa"/>
              <w:bottom w:w="100" w:type="dxa"/>
              <w:end w:w="120" w:type="dxa"/>
            </w:tcMar>
            <w:vAlign w:val="center"/>
            <w:shd w:fill="F5F8FA"/>
          </w:tcPr>
          <w:p>
            <w:r>
              <w:rPr>
                <w:sz w:val="17"/>
              </w:rPr>
              <w:t>transpositions, compression/expansion variables</w:t>
            </w:r>
          </w:p>
        </w:tc>
      </w:tr>
      <w:tr>
        <w:tc>
          <w:tcPr>
            <w:tcW w:type="dxa" w:w="1728"/>
            <w:tcMar>
              <w:top w:w="100" w:type="dxa"/>
              <w:start w:w="120" w:type="dxa"/>
              <w:bottom w:w="100" w:type="dxa"/>
              <w:end w:w="120" w:type="dxa"/>
            </w:tcMar>
            <w:vAlign w:val="center"/>
          </w:tcPr>
          <w:p>
            <w:r>
              <w:rPr>
                <w:sz w:val="17"/>
              </w:rPr>
              <w:t>Euclide</w:t>
            </w:r>
          </w:p>
        </w:tc>
        <w:tc>
          <w:tcPr>
            <w:tcW w:type="dxa" w:w="4608"/>
            <w:tcMar>
              <w:top w:w="100" w:type="dxa"/>
              <w:start w:w="120" w:type="dxa"/>
              <w:bottom w:w="100" w:type="dxa"/>
              <w:end w:w="120" w:type="dxa"/>
            </w:tcMar>
            <w:vAlign w:val="center"/>
          </w:tcPr>
          <w:p>
            <w:r>
              <w:rPr>
                <w:sz w:val="17"/>
              </w:rPr>
              <w:t>distance 3D sqrt(f²+a²+d²), puis statistiques</w:t>
            </w:r>
          </w:p>
        </w:tc>
        <w:tc>
          <w:tcPr>
            <w:tcW w:type="dxa" w:w="3456"/>
            <w:tcMar>
              <w:top w:w="100" w:type="dxa"/>
              <w:start w:w="120" w:type="dxa"/>
              <w:bottom w:w="100" w:type="dxa"/>
              <w:end w:w="120" w:type="dxa"/>
            </w:tcMar>
            <w:vAlign w:val="center"/>
          </w:tcPr>
          <w:p>
            <w:r>
              <w:rPr>
                <w:sz w:val="17"/>
              </w:rPr>
              <w:t>fusion des dimensions en un attracteur commun</w:t>
            </w:r>
          </w:p>
        </w:tc>
      </w:tr>
      <w:tr>
        <w:tc>
          <w:tcPr>
            <w:tcW w:type="dxa" w:w="1728"/>
            <w:tcMar>
              <w:top w:w="100" w:type="dxa"/>
              <w:start w:w="120" w:type="dxa"/>
              <w:bottom w:w="100" w:type="dxa"/>
              <w:end w:w="120" w:type="dxa"/>
            </w:tcMar>
            <w:vAlign w:val="center"/>
            <w:shd w:fill="F5F8FA"/>
          </w:tcPr>
          <w:p>
            <w:r>
              <w:rPr>
                <w:sz w:val="17"/>
              </w:rPr>
              <w:t>Genetic</w:t>
            </w:r>
          </w:p>
        </w:tc>
        <w:tc>
          <w:tcPr>
            <w:tcW w:type="dxa" w:w="4608"/>
            <w:tcMar>
              <w:top w:w="100" w:type="dxa"/>
              <w:start w:w="120" w:type="dxa"/>
              <w:bottom w:w="100" w:type="dxa"/>
              <w:end w:w="120" w:type="dxa"/>
            </w:tcMar>
            <w:vAlign w:val="center"/>
            <w:shd w:fill="F5F8FA"/>
          </w:tcPr>
          <w:p>
            <w:r>
              <w:rPr>
                <w:sz w:val="17"/>
              </w:rPr>
              <w:t>HPclassGenetiques.next, flux et flatness</w:t>
            </w:r>
          </w:p>
        </w:tc>
        <w:tc>
          <w:tcPr>
            <w:tcW w:type="dxa" w:w="3456"/>
            <w:tcMar>
              <w:top w:w="100" w:type="dxa"/>
              <w:start w:w="120" w:type="dxa"/>
              <w:bottom w:w="100" w:type="dxa"/>
              <w:end w:w="120" w:type="dxa"/>
            </w:tcMar>
            <w:vAlign w:val="center"/>
            <w:shd w:fill="F5F8FA"/>
          </w:tcPr>
          <w:p>
            <w:r>
              <w:rPr>
                <w:sz w:val="17"/>
              </w:rPr>
              <w:t>mutation/évolution séparée de F/A/D</w:t>
            </w:r>
          </w:p>
        </w:tc>
      </w:tr>
      <w:tr>
        <w:tc>
          <w:tcPr>
            <w:tcW w:type="dxa" w:w="1728"/>
            <w:tcMar>
              <w:top w:w="100" w:type="dxa"/>
              <w:start w:w="120" w:type="dxa"/>
              <w:bottom w:w="100" w:type="dxa"/>
              <w:end w:w="120" w:type="dxa"/>
            </w:tcMar>
            <w:vAlign w:val="center"/>
          </w:tcPr>
          <w:p>
            <w:r>
              <w:rPr>
                <w:sz w:val="17"/>
              </w:rPr>
              <w:t>Kohonen</w:t>
            </w:r>
          </w:p>
        </w:tc>
        <w:tc>
          <w:tcPr>
            <w:tcW w:type="dxa" w:w="4608"/>
            <w:tcMar>
              <w:top w:w="100" w:type="dxa"/>
              <w:start w:w="120" w:type="dxa"/>
              <w:bottom w:w="100" w:type="dxa"/>
              <w:end w:w="120" w:type="dxa"/>
            </w:tcMar>
            <w:vAlign w:val="center"/>
          </w:tcPr>
          <w:p>
            <w:r>
              <w:rPr>
                <w:sz w:val="17"/>
              </w:rPr>
              <w:t>apprentissage HPclassKohonen séparé</w:t>
            </w:r>
          </w:p>
        </w:tc>
        <w:tc>
          <w:tcPr>
            <w:tcW w:type="dxa" w:w="3456"/>
            <w:tcMar>
              <w:top w:w="100" w:type="dxa"/>
              <w:start w:w="120" w:type="dxa"/>
              <w:bottom w:w="100" w:type="dxa"/>
              <w:end w:w="120" w:type="dxa"/>
            </w:tcMar>
            <w:vAlign w:val="center"/>
          </w:tcPr>
          <w:p>
            <w:r>
              <w:rPr>
                <w:sz w:val="17"/>
              </w:rPr>
              <w:t>projection des séquences sur des vecteurs appris</w:t>
            </w:r>
          </w:p>
        </w:tc>
      </w:tr>
      <w:tr>
        <w:tc>
          <w:tcPr>
            <w:tcW w:type="dxa" w:w="1728"/>
            <w:tcMar>
              <w:top w:w="100" w:type="dxa"/>
              <w:start w:w="120" w:type="dxa"/>
              <w:bottom w:w="100" w:type="dxa"/>
              <w:end w:w="120" w:type="dxa"/>
            </w:tcMar>
            <w:vAlign w:val="center"/>
            <w:shd w:fill="F5F8FA"/>
          </w:tcPr>
          <w:p>
            <w:r>
              <w:rPr>
                <w:sz w:val="17"/>
              </w:rPr>
              <w:t>Neural</w:t>
            </w:r>
          </w:p>
        </w:tc>
        <w:tc>
          <w:tcPr>
            <w:tcW w:type="dxa" w:w="4608"/>
            <w:tcMar>
              <w:top w:w="100" w:type="dxa"/>
              <w:start w:w="120" w:type="dxa"/>
              <w:bottom w:w="100" w:type="dxa"/>
              <w:end w:w="120" w:type="dxa"/>
            </w:tcMar>
            <w:vAlign w:val="center"/>
            <w:shd w:fill="F5F8FA"/>
          </w:tcPr>
          <w:p>
            <w:r>
              <w:rPr>
                <w:sz w:val="17"/>
              </w:rPr>
              <w:t>HPNeuralNet.next sur triplets successifs</w:t>
            </w:r>
          </w:p>
        </w:tc>
        <w:tc>
          <w:tcPr>
            <w:tcW w:type="dxa" w:w="3456"/>
            <w:tcMar>
              <w:top w:w="100" w:type="dxa"/>
              <w:start w:w="120" w:type="dxa"/>
              <w:bottom w:w="100" w:type="dxa"/>
              <w:end w:w="120" w:type="dxa"/>
            </w:tcMar>
            <w:vAlign w:val="center"/>
            <w:shd w:fill="F5F8FA"/>
          </w:tcPr>
          <w:p>
            <w:r>
              <w:rPr>
                <w:sz w:val="17"/>
              </w:rPr>
              <w:t>prédiction conjointe fréquence/amplitude/durée</w:t>
            </w:r>
          </w:p>
        </w:tc>
      </w:tr>
    </w:tbl>
    <w:p/>
    <w:p>
      <w:r>
        <w:t>Dans tous les cas, la sortie est [newFreq, newAmp, newDuree]. Les fréquences sont remappées vers Range FHZ puis converties avec midicps. Les amplitudes sont remappées dans rangeDBintruments. Les durées sont remappées, rendues positives si nécessaire et quantifiées.</w:t>
      </w:r>
    </w:p>
    <w:p>
      <w:pPr>
        <w:pStyle w:val="Heading1"/>
        <w:keepNext/>
      </w:pPr>
      <w:r>
        <w:t>10. Construction des accords et gamme</w:t>
      </w:r>
    </w:p>
    <w:p>
      <w:pPr>
        <w:pStyle w:val="ListBullet"/>
      </w:pPr>
      <w:r>
        <w:t>Avec Chord On, les durées ≤ premier quartile accumulent fréquence et amplitude dans chordFreq/chordAmp. Une durée plus longue ferme le groupe.</w:t>
      </w:r>
    </w:p>
    <w:p>
      <w:pPr>
        <w:pStyle w:val="ListBullet"/>
      </w:pPr>
      <w:r>
        <w:t>Le passage en gamme calcule l’octave, cherche le degré égal ou immédiatement supérieur, puis reconstruit la note.</w:t>
      </w:r>
    </w:p>
    <w:p>
      <w:pPr>
        <w:pStyle w:val="ListBullet"/>
      </w:pPr>
      <w:r>
        <w:t>AutoRoot utilise la médiane de la fréquence energy, la convertit en octave puis en degré du tuning.</w:t>
      </w:r>
    </w:p>
    <w:p>
      <w:pPr>
        <w:pStyle w:val="ListBullet"/>
      </w:pPr>
      <w:r>
        <w:t>Le moteur prend en charge Tuning.et12 et Tuning.sruti selon le menu.</w:t>
      </w:r>
    </w:p>
    <w:p>
      <w:pPr>
        <w:pStyle w:val="Heading1"/>
        <w:keepNext/>
      </w:pPr>
      <w:r>
        <w:t>11. Sélection de l’orchestration</w:t>
      </w:r>
    </w:p>
    <w:p>
      <w:r>
        <w:t>Les sélections XY sont discrétisées sur la taille des tableaux. La position nominale reçoit un jitter symétrique puis clip 0–1. X choisit la famille et Y l’élément. Le même mécanisme s’applique aux synthés, sons et FX.</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7365D"/>
            <w:tcMar>
              <w:top w:w="100" w:type="dxa"/>
              <w:start w:w="120" w:type="dxa"/>
              <w:bottom w:w="100" w:type="dxa"/>
              <w:end w:w="120" w:type="dxa"/>
            </w:tcMar>
            <w:vAlign w:val="center"/>
          </w:tcPr>
          <w:p>
            <w:r>
              <w:rPr>
                <w:b/>
                <w:color w:val="FFFFFF"/>
                <w:sz w:val="18"/>
              </w:rPr>
              <w:t>Décision</w:t>
            </w:r>
          </w:p>
        </w:tc>
        <w:tc>
          <w:tcPr>
            <w:tcW w:type="dxa" w:w="7488"/>
            <w:shd w:fill="17365D"/>
            <w:tcMar>
              <w:top w:w="100" w:type="dxa"/>
              <w:start w:w="120" w:type="dxa"/>
              <w:bottom w:w="100" w:type="dxa"/>
              <w:end w:w="120" w:type="dxa"/>
            </w:tcMar>
            <w:vAlign w:val="center"/>
          </w:tcPr>
          <w:p>
            <w:r>
              <w:rPr>
                <w:b/>
                <w:color w:val="FFFFFF"/>
                <w:sz w:val="18"/>
              </w:rPr>
              <w:t>Source</w:t>
            </w:r>
          </w:p>
        </w:tc>
      </w:tr>
      <w:tr>
        <w:tc>
          <w:tcPr>
            <w:tcW w:type="dxa" w:w="2304"/>
            <w:tcMar>
              <w:top w:w="100" w:type="dxa"/>
              <w:start w:w="120" w:type="dxa"/>
              <w:bottom w:w="100" w:type="dxa"/>
              <w:end w:w="120" w:type="dxa"/>
            </w:tcMar>
            <w:vAlign w:val="center"/>
          </w:tcPr>
          <w:p>
            <w:r>
              <w:rPr>
                <w:sz w:val="17"/>
              </w:rPr>
              <w:t>Algorithme</w:t>
            </w:r>
          </w:p>
        </w:tc>
        <w:tc>
          <w:tcPr>
            <w:tcW w:type="dxa" w:w="7488"/>
            <w:tcMar>
              <w:top w:w="100" w:type="dxa"/>
              <w:start w:w="120" w:type="dxa"/>
              <w:bottom w:w="100" w:type="dxa"/>
              <w:end w:w="120" w:type="dxa"/>
            </w:tcMar>
            <w:vAlign w:val="center"/>
          </w:tcPr>
          <w:p>
            <w:r>
              <w:rPr>
                <w:sz w:val="17"/>
              </w:rPr>
              <w:t>tirage entier entre algoLo et algoHi</w:t>
            </w:r>
          </w:p>
        </w:tc>
      </w:tr>
      <w:tr>
        <w:tc>
          <w:tcPr>
            <w:tcW w:type="dxa" w:w="2304"/>
            <w:tcMar>
              <w:top w:w="100" w:type="dxa"/>
              <w:start w:w="120" w:type="dxa"/>
              <w:bottom w:w="100" w:type="dxa"/>
              <w:end w:w="120" w:type="dxa"/>
            </w:tcMar>
            <w:vAlign w:val="center"/>
            <w:shd w:fill="F5F8FA"/>
          </w:tcPr>
          <w:p>
            <w:r>
              <w:rPr>
                <w:sz w:val="17"/>
              </w:rPr>
              <w:t>SynthDef</w:t>
            </w:r>
          </w:p>
        </w:tc>
        <w:tc>
          <w:tcPr>
            <w:tcW w:type="dxa" w:w="7488"/>
            <w:tcMar>
              <w:top w:w="100" w:type="dxa"/>
              <w:start w:w="120" w:type="dxa"/>
              <w:bottom w:w="100" w:type="dxa"/>
              <w:end w:w="120" w:type="dxa"/>
            </w:tcMar>
            <w:vAlign w:val="center"/>
            <w:shd w:fill="F5F8FA"/>
          </w:tcPr>
          <w:p>
            <w:r>
              <w:rPr>
                <w:sz w:val="17"/>
              </w:rPr>
              <w:t>synthOrchestra[X][Y]</w:t>
            </w:r>
          </w:p>
        </w:tc>
      </w:tr>
      <w:tr>
        <w:tc>
          <w:tcPr>
            <w:tcW w:type="dxa" w:w="2304"/>
            <w:tcMar>
              <w:top w:w="100" w:type="dxa"/>
              <w:start w:w="120" w:type="dxa"/>
              <w:bottom w:w="100" w:type="dxa"/>
              <w:end w:w="120" w:type="dxa"/>
            </w:tcMar>
            <w:vAlign w:val="center"/>
          </w:tcPr>
          <w:p>
            <w:r>
              <w:rPr>
                <w:sz w:val="17"/>
              </w:rPr>
              <w:t>Buffer/son</w:t>
            </w:r>
          </w:p>
        </w:tc>
        <w:tc>
          <w:tcPr>
            <w:tcW w:type="dxa" w:w="7488"/>
            <w:tcMar>
              <w:top w:w="100" w:type="dxa"/>
              <w:start w:w="120" w:type="dxa"/>
              <w:bottom w:w="100" w:type="dxa"/>
              <w:end w:w="120" w:type="dxa"/>
            </w:tcMar>
            <w:vAlign w:val="center"/>
          </w:tcPr>
          <w:p>
            <w:r>
              <w:rPr>
                <w:sz w:val="17"/>
              </w:rPr>
              <w:t>listeBuffer et soundOrchestra[X][Y]</w:t>
            </w:r>
          </w:p>
        </w:tc>
      </w:tr>
      <w:tr>
        <w:tc>
          <w:tcPr>
            <w:tcW w:type="dxa" w:w="2304"/>
            <w:tcMar>
              <w:top w:w="100" w:type="dxa"/>
              <w:start w:w="120" w:type="dxa"/>
              <w:bottom w:w="100" w:type="dxa"/>
              <w:end w:w="120" w:type="dxa"/>
            </w:tcMar>
            <w:vAlign w:val="center"/>
            <w:shd w:fill="F5F8FA"/>
          </w:tcPr>
          <w:p>
            <w:r>
              <w:rPr>
                <w:sz w:val="17"/>
              </w:rPr>
              <w:t>Effet</w:t>
            </w:r>
          </w:p>
        </w:tc>
        <w:tc>
          <w:tcPr>
            <w:tcW w:type="dxa" w:w="7488"/>
            <w:tcMar>
              <w:top w:w="100" w:type="dxa"/>
              <w:start w:w="120" w:type="dxa"/>
              <w:bottom w:w="100" w:type="dxa"/>
              <w:end w:w="120" w:type="dxa"/>
            </w:tcMar>
            <w:vAlign w:val="center"/>
            <w:shd w:fill="F5F8FA"/>
          </w:tcPr>
          <w:p>
            <w:r>
              <w:rPr>
                <w:sz w:val="17"/>
              </w:rPr>
              <w:t>fxOrchestra[X][Y]</w:t>
            </w:r>
          </w:p>
        </w:tc>
      </w:tr>
      <w:tr>
        <w:tc>
          <w:tcPr>
            <w:tcW w:type="dxa" w:w="2304"/>
            <w:tcMar>
              <w:top w:w="100" w:type="dxa"/>
              <w:start w:w="120" w:type="dxa"/>
              <w:bottom w:w="100" w:type="dxa"/>
              <w:end w:w="120" w:type="dxa"/>
            </w:tcMar>
            <w:vAlign w:val="center"/>
          </w:tcPr>
          <w:p>
            <w:r>
              <w:rPr>
                <w:sz w:val="17"/>
              </w:rPr>
              <w:t>Pan</w:t>
            </w:r>
          </w:p>
        </w:tc>
        <w:tc>
          <w:tcPr>
            <w:tcW w:type="dxa" w:w="7488"/>
            <w:tcMar>
              <w:top w:w="100" w:type="dxa"/>
              <w:start w:w="120" w:type="dxa"/>
              <w:bottom w:w="100" w:type="dxa"/>
              <w:end w:w="120" w:type="dxa"/>
            </w:tcMar>
            <w:vAlign w:val="center"/>
          </w:tcPr>
          <w:p>
            <w:r>
              <w:rPr>
                <w:sz w:val="17"/>
              </w:rPr>
              <w:t>tirage entre panSynthLo et panSynthHi</w:t>
            </w:r>
          </w:p>
        </w:tc>
      </w:tr>
      <w:tr>
        <w:tc>
          <w:tcPr>
            <w:tcW w:type="dxa" w:w="2304"/>
            <w:tcMar>
              <w:top w:w="100" w:type="dxa"/>
              <w:start w:w="120" w:type="dxa"/>
              <w:bottom w:w="100" w:type="dxa"/>
              <w:end w:w="120" w:type="dxa"/>
            </w:tcMar>
            <w:vAlign w:val="center"/>
            <w:shd w:fill="F5F8FA"/>
          </w:tcPr>
          <w:p>
            <w:r>
              <w:rPr>
                <w:sz w:val="17"/>
              </w:rPr>
              <w:t>Canal MIDI</w:t>
            </w:r>
          </w:p>
        </w:tc>
        <w:tc>
          <w:tcPr>
            <w:tcW w:type="dxa" w:w="7488"/>
            <w:tcMar>
              <w:top w:w="100" w:type="dxa"/>
              <w:start w:w="120" w:type="dxa"/>
              <w:bottom w:w="100" w:type="dxa"/>
              <w:end w:w="120" w:type="dxa"/>
            </w:tcMar>
            <w:vAlign w:val="center"/>
            <w:shd w:fill="F5F8FA"/>
          </w:tcPr>
          <w:p>
            <w:r>
              <w:rPr>
                <w:sz w:val="17"/>
              </w:rPr>
              <w:t>chanelsMidi[0 ou indexBand] − 1</w:t>
            </w:r>
          </w:p>
        </w:tc>
      </w:tr>
      <w:tr>
        <w:tc>
          <w:tcPr>
            <w:tcW w:type="dxa" w:w="2304"/>
            <w:tcMar>
              <w:top w:w="100" w:type="dxa"/>
              <w:start w:w="120" w:type="dxa"/>
              <w:bottom w:w="100" w:type="dxa"/>
              <w:end w:w="120" w:type="dxa"/>
            </w:tcMar>
            <w:vAlign w:val="center"/>
          </w:tcPr>
          <w:p>
            <w:r>
              <w:rPr>
                <w:sz w:val="17"/>
              </w:rPr>
              <w:t>Bus voix</w:t>
            </w:r>
          </w:p>
        </w:tc>
        <w:tc>
          <w:tcPr>
            <w:tcW w:type="dxa" w:w="7488"/>
            <w:tcMar>
              <w:top w:w="100" w:type="dxa"/>
              <w:start w:w="120" w:type="dxa"/>
              <w:bottom w:w="100" w:type="dxa"/>
              <w:end w:w="120" w:type="dxa"/>
            </w:tcMar>
            <w:vAlign w:val="center"/>
          </w:tcPr>
          <w:p>
            <w:r>
              <w:rPr>
                <w:sz w:val="17"/>
              </w:rPr>
              <w:t>premier indice disponible dans listeBusOff</w:t>
            </w:r>
          </w:p>
        </w:tc>
      </w:tr>
    </w:tbl>
    <w:p/>
    <w:p>
      <w:pPr>
        <w:pStyle w:val="Heading1"/>
        <w:keepNext/>
      </w:pPr>
      <w:r>
        <w:t>12. Sampler et choix du buffer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7365D"/>
            <w:tcMar>
              <w:top w:w="100" w:type="dxa"/>
              <w:start w:w="120" w:type="dxa"/>
              <w:bottom w:w="100" w:type="dxa"/>
              <w:end w:w="120" w:type="dxa"/>
            </w:tcMar>
            <w:vAlign w:val="center"/>
          </w:tcPr>
          <w:p>
            <w:r>
              <w:rPr>
                <w:b/>
                <w:color w:val="FFFFFF"/>
                <w:sz w:val="18"/>
              </w:rPr>
              <w:t>Mode</w:t>
            </w:r>
          </w:p>
        </w:tc>
        <w:tc>
          <w:tcPr>
            <w:tcW w:type="dxa" w:w="7488"/>
            <w:shd w:fill="17365D"/>
            <w:tcMar>
              <w:top w:w="100" w:type="dxa"/>
              <w:start w:w="120" w:type="dxa"/>
              <w:bottom w:w="100" w:type="dxa"/>
              <w:end w:w="120" w:type="dxa"/>
            </w:tcMar>
            <w:vAlign w:val="center"/>
          </w:tcPr>
          <w:p>
            <w:r>
              <w:rPr>
                <w:b/>
                <w:color w:val="FFFFFF"/>
                <w:sz w:val="18"/>
              </w:rPr>
              <w:t>Logique</w:t>
            </w:r>
          </w:p>
        </w:tc>
      </w:tr>
      <w:tr>
        <w:tc>
          <w:tcPr>
            <w:tcW w:type="dxa" w:w="2304"/>
            <w:tcMar>
              <w:top w:w="100" w:type="dxa"/>
              <w:start w:w="120" w:type="dxa"/>
              <w:bottom w:w="100" w:type="dxa"/>
              <w:end w:w="120" w:type="dxa"/>
            </w:tcMar>
            <w:vAlign w:val="center"/>
          </w:tcPr>
          <w:p>
            <w:r>
              <w:rPr>
                <w:sz w:val="17"/>
              </w:rPr>
              <w:t>Sampler+Sound</w:t>
            </w:r>
          </w:p>
        </w:tc>
        <w:tc>
          <w:tcPr>
            <w:tcW w:type="dxa" w:w="7488"/>
            <w:tcMar>
              <w:top w:w="100" w:type="dxa"/>
              <w:start w:w="120" w:type="dxa"/>
              <w:bottom w:w="100" w:type="dxa"/>
              <w:end w:w="120" w:type="dxa"/>
            </w:tcMar>
            <w:vAlign w:val="center"/>
          </w:tcPr>
          <w:p>
            <w:r>
              <w:rPr>
                <w:sz w:val="17"/>
              </w:rPr>
              <w:t>tirage 50/50 entre buffer capturé en direct et son de bibliothèque</w:t>
            </w:r>
          </w:p>
        </w:tc>
      </w:tr>
      <w:tr>
        <w:tc>
          <w:tcPr>
            <w:tcW w:type="dxa" w:w="2304"/>
            <w:tcMar>
              <w:top w:w="100" w:type="dxa"/>
              <w:start w:w="120" w:type="dxa"/>
              <w:bottom w:w="100" w:type="dxa"/>
              <w:end w:w="120" w:type="dxa"/>
            </w:tcMar>
            <w:vAlign w:val="center"/>
            <w:shd w:fill="F5F8FA"/>
          </w:tcPr>
          <w:p>
            <w:r>
              <w:rPr>
                <w:sz w:val="17"/>
              </w:rPr>
              <w:t>Sampler</w:t>
            </w:r>
          </w:p>
        </w:tc>
        <w:tc>
          <w:tcPr>
            <w:tcW w:type="dxa" w:w="7488"/>
            <w:tcMar>
              <w:top w:w="100" w:type="dxa"/>
              <w:start w:w="120" w:type="dxa"/>
              <w:bottom w:w="100" w:type="dxa"/>
              <w:end w:w="120" w:type="dxa"/>
            </w:tcMar>
            <w:vAlign w:val="center"/>
            <w:shd w:fill="F5F8FA"/>
          </w:tcPr>
          <w:p>
            <w:r>
              <w:rPr>
                <w:sz w:val="17"/>
              </w:rPr>
              <w:t>allocation d’un buffer de dureeSample et RecBufferSynth</w:t>
            </w:r>
          </w:p>
        </w:tc>
      </w:tr>
      <w:tr>
        <w:tc>
          <w:tcPr>
            <w:tcW w:type="dxa" w:w="2304"/>
            <w:tcMar>
              <w:top w:w="100" w:type="dxa"/>
              <w:start w:w="120" w:type="dxa"/>
              <w:bottom w:w="100" w:type="dxa"/>
              <w:end w:w="120" w:type="dxa"/>
            </w:tcMar>
            <w:vAlign w:val="center"/>
          </w:tcPr>
          <w:p>
            <w:r>
              <w:rPr>
                <w:sz w:val="17"/>
              </w:rPr>
              <w:t>Sound</w:t>
            </w:r>
          </w:p>
        </w:tc>
        <w:tc>
          <w:tcPr>
            <w:tcW w:type="dxa" w:w="7488"/>
            <w:tcMar>
              <w:top w:w="100" w:type="dxa"/>
              <w:start w:w="120" w:type="dxa"/>
              <w:bottom w:w="100" w:type="dxa"/>
              <w:end w:w="120" w:type="dxa"/>
            </w:tcMar>
            <w:vAlign w:val="center"/>
          </w:tcPr>
          <w:p>
            <w:r>
              <w:rPr>
                <w:sz w:val="17"/>
              </w:rPr>
              <w:t>buffer préchargé choisi par XY</w:t>
            </w:r>
          </w:p>
        </w:tc>
      </w:tr>
      <w:tr>
        <w:tc>
          <w:tcPr>
            <w:tcW w:type="dxa" w:w="2304"/>
            <w:tcMar>
              <w:top w:w="100" w:type="dxa"/>
              <w:start w:w="120" w:type="dxa"/>
              <w:bottom w:w="100" w:type="dxa"/>
              <w:end w:w="120" w:type="dxa"/>
            </w:tcMar>
            <w:vAlign w:val="center"/>
            <w:shd w:fill="F5F8FA"/>
          </w:tcPr>
          <w:p>
            <w:r>
              <w:rPr>
                <w:sz w:val="17"/>
              </w:rPr>
              <w:t>RecSnd On</w:t>
            </w:r>
          </w:p>
        </w:tc>
        <w:tc>
          <w:tcPr>
            <w:tcW w:type="dxa" w:w="7488"/>
            <w:tcMar>
              <w:top w:w="100" w:type="dxa"/>
              <w:start w:w="120" w:type="dxa"/>
              <w:bottom w:w="100" w:type="dxa"/>
              <w:end w:w="120" w:type="dxa"/>
            </w:tcMar>
            <w:vAlign w:val="center"/>
            <w:shd w:fill="F5F8FA"/>
          </w:tcPr>
          <w:p>
            <w:r>
              <w:rPr>
                <w:sz w:val="17"/>
              </w:rPr>
              <w:t>copie/allocution d’un buffer puis enregistrement de l’entrée</w:t>
            </w:r>
          </w:p>
        </w:tc>
      </w:tr>
    </w:tbl>
    <w:p/>
    <w:p>
      <w:r>
        <w:t>RecBufferSynth utilise RecordBuf avec recLevel, preLevel, loopRec et trigger. Les buffers temporaires sont marqués par path = "Buffer for Sampler" afin d’être libérés à la destruction de la voix.</w:t>
      </w:r>
    </w:p>
    <w:p>
      <w:pPr>
        <w:pStyle w:val="Heading1"/>
        <w:keepNext/>
      </w:pPr>
      <w:r>
        <w:t>13. Deux modèles de voix</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17365D"/>
            <w:tcMar>
              <w:top w:w="100" w:type="dxa"/>
              <w:start w:w="120" w:type="dxa"/>
              <w:bottom w:w="100" w:type="dxa"/>
              <w:end w:w="120" w:type="dxa"/>
            </w:tcMar>
            <w:vAlign w:val="center"/>
          </w:tcPr>
          <w:p>
            <w:r>
              <w:rPr>
                <w:b/>
                <w:color w:val="FFFFFF"/>
                <w:sz w:val="18"/>
              </w:rPr>
              <w:t>Type</w:t>
            </w:r>
          </w:p>
        </w:tc>
        <w:tc>
          <w:tcPr>
            <w:tcW w:type="dxa" w:w="4032"/>
            <w:shd w:fill="17365D"/>
            <w:tcMar>
              <w:top w:w="100" w:type="dxa"/>
              <w:start w:w="120" w:type="dxa"/>
              <w:bottom w:w="100" w:type="dxa"/>
              <w:end w:w="120" w:type="dxa"/>
            </w:tcMar>
            <w:vAlign w:val="center"/>
          </w:tcPr>
          <w:p>
            <w:r>
              <w:rPr>
                <w:b/>
                <w:color w:val="FFFFFF"/>
                <w:sz w:val="18"/>
              </w:rPr>
              <w:t>Création</w:t>
            </w:r>
          </w:p>
        </w:tc>
        <w:tc>
          <w:tcPr>
            <w:tcW w:type="dxa" w:w="3744"/>
            <w:shd w:fill="17365D"/>
            <w:tcMar>
              <w:top w:w="100" w:type="dxa"/>
              <w:start w:w="120" w:type="dxa"/>
              <w:bottom w:w="100" w:type="dxa"/>
              <w:end w:w="120" w:type="dxa"/>
            </w:tcMar>
            <w:vAlign w:val="center"/>
          </w:tcPr>
          <w:p>
            <w:r>
              <w:rPr>
                <w:b/>
                <w:color w:val="FFFFFF"/>
                <w:sz w:val="18"/>
              </w:rPr>
              <w:t>Mise à jour</w:t>
            </w:r>
          </w:p>
        </w:tc>
      </w:tr>
      <w:tr>
        <w:tc>
          <w:tcPr>
            <w:tcW w:type="dxa" w:w="2016"/>
            <w:tcMar>
              <w:top w:w="100" w:type="dxa"/>
              <w:start w:w="120" w:type="dxa"/>
              <w:bottom w:w="100" w:type="dxa"/>
              <w:end w:w="120" w:type="dxa"/>
            </w:tcMar>
            <w:vAlign w:val="center"/>
          </w:tcPr>
          <w:p>
            <w:r>
              <w:rPr>
                <w:sz w:val="17"/>
              </w:rPr>
              <w:t>Step, nom sans Stream</w:t>
            </w:r>
          </w:p>
        </w:tc>
        <w:tc>
          <w:tcPr>
            <w:tcW w:type="dxa" w:w="4032"/>
            <w:tcMar>
              <w:top w:w="100" w:type="dxa"/>
              <w:start w:w="120" w:type="dxa"/>
              <w:bottom w:w="100" w:type="dxa"/>
              <w:end w:w="120" w:type="dxa"/>
            </w:tcMar>
            <w:vAlign w:val="center"/>
          </w:tcPr>
          <w:p>
            <w:r>
              <w:rPr>
                <w:sz w:val="17"/>
              </w:rPr>
              <w:t>PmonoArtic + Pseq newFreq/newAmp/newDur</w:t>
            </w:r>
          </w:p>
        </w:tc>
        <w:tc>
          <w:tcPr>
            <w:tcW w:type="dxa" w:w="3744"/>
            <w:tcMar>
              <w:top w:w="100" w:type="dxa"/>
              <w:start w:w="120" w:type="dxa"/>
              <w:bottom w:w="100" w:type="dxa"/>
              <w:end w:w="120" w:type="dxa"/>
            </w:tcMar>
            <w:vAlign w:val="center"/>
          </w:tcPr>
          <w:p>
            <w:r>
              <w:rPr>
                <w:sz w:val="17"/>
              </w:rPr>
              <w:t>la séquence suit la mémoire calculée à la création</w:t>
            </w:r>
          </w:p>
        </w:tc>
      </w:tr>
      <w:tr>
        <w:tc>
          <w:tcPr>
            <w:tcW w:type="dxa" w:w="2016"/>
            <w:tcMar>
              <w:top w:w="100" w:type="dxa"/>
              <w:start w:w="120" w:type="dxa"/>
              <w:bottom w:w="100" w:type="dxa"/>
              <w:end w:w="120" w:type="dxa"/>
            </w:tcMar>
            <w:vAlign w:val="center"/>
            <w:shd w:fill="F5F8FA"/>
          </w:tcPr>
          <w:p>
            <w:r>
              <w:rPr>
                <w:sz w:val="17"/>
              </w:rPr>
              <w:t>Stream</w:t>
            </w:r>
          </w:p>
        </w:tc>
        <w:tc>
          <w:tcPr>
            <w:tcW w:type="dxa" w:w="4032"/>
            <w:tcMar>
              <w:top w:w="100" w:type="dxa"/>
              <w:start w:w="120" w:type="dxa"/>
              <w:bottom w:w="100" w:type="dxa"/>
              <w:end w:w="120" w:type="dxa"/>
            </w:tcMar>
            <w:vAlign w:val="center"/>
            <w:shd w:fill="F5F8FA"/>
          </w:tcPr>
          <w:p>
            <w:r>
              <w:rPr>
                <w:sz w:val="17"/>
              </w:rPr>
              <w:t>Synth continu</w:t>
            </w:r>
          </w:p>
        </w:tc>
        <w:tc>
          <w:tcPr>
            <w:tcW w:type="dxa" w:w="3744"/>
            <w:tcMar>
              <w:top w:w="100" w:type="dxa"/>
              <w:start w:w="120" w:type="dxa"/>
              <w:bottom w:w="100" w:type="dxa"/>
              <w:end w:w="120" w:type="dxa"/>
            </w:tcMar>
            <w:vAlign w:val="center"/>
            <w:shd w:fill="F5F8FA"/>
          </w:tcPr>
          <w:p>
            <w:r>
              <w:rPr>
                <w:sz w:val="17"/>
              </w:rPr>
              <w:t>oscMusic recalcule F/A/D et fait set sur le synth actif</w:t>
            </w:r>
          </w:p>
        </w:tc>
      </w:tr>
      <w:tr>
        <w:tc>
          <w:tcPr>
            <w:tcW w:type="dxa" w:w="2016"/>
            <w:tcMar>
              <w:top w:w="100" w:type="dxa"/>
              <w:start w:w="120" w:type="dxa"/>
              <w:bottom w:w="100" w:type="dxa"/>
              <w:end w:w="120" w:type="dxa"/>
            </w:tcMar>
            <w:vAlign w:val="center"/>
          </w:tcPr>
          <w:p>
            <w:r>
              <w:rPr>
                <w:sz w:val="17"/>
              </w:rPr>
              <w:t>StreamEnv</w:t>
            </w:r>
          </w:p>
        </w:tc>
        <w:tc>
          <w:tcPr>
            <w:tcW w:type="dxa" w:w="4032"/>
            <w:tcMar>
              <w:top w:w="100" w:type="dxa"/>
              <w:start w:w="120" w:type="dxa"/>
              <w:bottom w:w="100" w:type="dxa"/>
              <w:end w:w="120" w:type="dxa"/>
            </w:tcMar>
            <w:vAlign w:val="center"/>
          </w:tcPr>
          <w:p>
            <w:r>
              <w:rPr>
                <w:sz w:val="17"/>
              </w:rPr>
              <w:t>Synth continu avec enveloppe/libération</w:t>
            </w:r>
          </w:p>
        </w:tc>
        <w:tc>
          <w:tcPr>
            <w:tcW w:type="dxa" w:w="3744"/>
            <w:tcMar>
              <w:top w:w="100" w:type="dxa"/>
              <w:start w:w="120" w:type="dxa"/>
              <w:bottom w:w="100" w:type="dxa"/>
              <w:end w:w="120" w:type="dxa"/>
            </w:tcMar>
            <w:vAlign w:val="center"/>
          </w:tcPr>
          <w:p>
            <w:r>
              <w:rPr>
                <w:sz w:val="17"/>
              </w:rPr>
              <w:t>même mise à jour; libération explicite à la fin</w:t>
            </w:r>
          </w:p>
        </w:tc>
      </w:tr>
    </w:tbl>
    <w:p/>
    <w:p>
      <w:r>
        <w:t>Chaque voix possède en plus un FX dédié et un masterOut. Les descripteurs spectraux sont mappés depuis les bus de contrôle de la bande, ce qui rend le timbre et l’effet continuellement réactifs.</w:t>
      </w:r>
    </w:p>
    <w:p>
      <w:pPr>
        <w:pStyle w:val="Heading1"/>
        <w:keepNext/>
      </w:pPr>
      <w:r>
        <w:t>14. Planification et durée de vie</w:t>
      </w:r>
    </w:p>
    <w:p>
      <w:r>
        <w:t>Tdef Player boucle à la résolution 1/quantizationDuree. Il détruit les voix dont le temps dépasse dureeStretchBPM, puis tente une création si le nombre de voix est inférieur à maximumInstruments et si l’intervalle depuis la dernière tentative dépasse 1 − globalDensity.</w:t>
      </w:r>
    </w:p>
    <w:p>
      <w:pPr>
        <w:pStyle w:val="ListBullet"/>
      </w:pPr>
      <w:r>
        <w:t>Une seconde condition aléatoire rrand(0,1) &lt; globalDensity décide la création effective.</w:t>
      </w:r>
    </w:p>
    <w:p>
      <w:pPr>
        <w:pStyle w:val="ListBullet"/>
      </w:pPr>
      <w:r>
        <w:t>En mode bandes, rangeSynthBand est parcouru circulairement.</w:t>
      </w:r>
    </w:p>
    <w:p>
      <w:pPr>
        <w:pStyle w:val="ListBullet"/>
      </w:pPr>
      <w:r>
        <w:t>La destruction arrête/free pattern ou synth, MIDI, buffers, FX et masterOut, puis remet le bus dans listeBusOff.</w:t>
      </w:r>
    </w:p>
    <w:p>
      <w:pPr>
        <w:pStyle w:val="ListBullet"/>
      </w:pPr>
      <w:r>
        <w:t>La durée de vie planifiée utilise newDur.sum × globalDensity.reciprocal.</w:t>
      </w:r>
    </w:p>
    <w:tbl>
      <w:tblPr>
        <w:tblW w:type="auto" w:w="0"/>
        <w:jc w:val="center"/>
        <w:tblLook w:firstColumn="1" w:firstRow="1" w:lastColumn="0" w:lastRow="0" w:noHBand="0" w:noVBand="1" w:val="04A0"/>
      </w:tblPr>
      <w:tblGrid>
        <w:gridCol w:w="9994"/>
      </w:tblGrid>
      <w:tr>
        <w:tc>
          <w:tcPr>
            <w:tcW w:type="dxa" w:w="9994"/>
            <w:shd w:fill="E8F1F5"/>
            <w:tcMar>
              <w:top w:w="140" w:type="dxa"/>
              <w:start w:w="160" w:type="dxa"/>
              <w:bottom w:w="140" w:type="dxa"/>
              <w:end w:w="160" w:type="dxa"/>
            </w:tcMar>
          </w:tcPr>
          <w:p>
            <w:r>
              <w:rPr>
                <w:b/>
                <w:color w:val="A33A3A"/>
                <w:sz w:val="22"/>
              </w:rPr>
              <w:t>Cas limite</w:t>
              <w:br/>
            </w:r>
            <w:r>
              <w:t>globalDensity sert comme probabilité, intervalle et réciproque de durée. Une valeur nulle peut poser un problème lors d’une construction forcée; la GUI évite normalement la construction car la probabilité devient nulle, mais un garde explicite serait plus robuste.</w:t>
            </w:r>
          </w:p>
        </w:tc>
      </w:tr>
    </w:tbl>
    <w:p>
      <w:pPr>
        <w:spacing w:after="0"/>
      </w:pPr>
    </w:p>
    <w:p>
      <w:pPr>
        <w:pStyle w:val="Heading1"/>
        <w:keepNext/>
      </w:pPr>
      <w:r>
        <w:t>15. Sortie, spatialisation et effets globaux</w:t>
      </w:r>
    </w:p>
    <w:p>
      <w:pPr>
        <w:pStyle w:val="ListBullet"/>
      </w:pPr>
      <w:r>
        <w:t>Chaque synthé écrit sur un bus mono busSynthInOut.</w:t>
      </w:r>
    </w:p>
    <w:p>
      <w:pPr>
        <w:pStyle w:val="ListBullet"/>
      </w:pPr>
      <w:r>
        <w:t>Le FX lit et réécrit ce bus avec xFade.</w:t>
      </w:r>
    </w:p>
    <w:p>
      <w:pPr>
        <w:pStyle w:val="ListBullet"/>
      </w:pPr>
      <w:r>
        <w:t>Le masterOut lit le bus et écrit dans les canaux définis pour la bande, en Stereo, Rotate2, MultiSpeaker, Ambisonic ou Dolby5.1.</w:t>
      </w:r>
    </w:p>
    <w:p>
      <w:pPr>
        <w:pStyle w:val="ListBullet"/>
      </w:pPr>
      <w:r>
        <w:t>GVerb/FreeVerb/Allpass/JPverb travaillent dans groupeVerb et partagent leurs paramètres via groupeVerb.set.</w:t>
      </w:r>
    </w:p>
    <w:p>
      <w:pPr>
        <w:pStyle w:val="ListBullet"/>
      </w:pPr>
      <w:r>
        <w:t>SynthLimiter est placé dans groupeLimiter en queue.</w:t>
      </w:r>
    </w:p>
    <w:p>
      <w:pPr>
        <w:pStyle w:val="Heading1"/>
        <w:keepNext/>
      </w:pPr>
      <w:r>
        <w:t>16. MIDI, VST et OSC externe</w:t>
      </w:r>
    </w:p>
    <w:p>
      <w:pPr>
        <w:pStyle w:val="ListBullet"/>
      </w:pPr>
      <w:r>
        <w:t>Les patterns non-Stream peuvent créer un Pbind MIDI parallèle.</w:t>
      </w:r>
    </w:p>
    <w:p>
      <w:pPr>
        <w:pStyle w:val="ListBullet"/>
      </w:pPr>
      <w:r>
        <w:t>Les Stream envoient noteOff/noteOn à chaque événement validé.</w:t>
      </w:r>
    </w:p>
    <w:p>
      <w:pPr>
        <w:pStyle w:val="ListBullet"/>
      </w:pPr>
      <w:r>
        <w:t>Le contrôleur VST reçoit des événements de type vst_midi ou des appels fxVST.midi.</w:t>
      </w:r>
    </w:p>
    <w:p>
      <w:pPr>
        <w:pStyle w:val="ListBullet"/>
      </w:pPr>
      <w:r>
        <w:t>Le répondeur /score accepte des triplets ciblant all/density avec preset, start ou stop.</w:t>
      </w:r>
    </w:p>
    <w:p>
      <w:pPr>
        <w:pStyle w:val="ListBullet"/>
      </w:pPr>
      <w:r>
        <w:t>Le mode OSC master synchronise l’enregistrement vers slaveAppAddr et le transport vers Ardour au port 3819.</w:t>
      </w:r>
    </w:p>
    <w:p>
      <w:pPr>
        <w:pStyle w:val="Heading1"/>
        <w:keepNext/>
      </w:pPr>
      <w:r>
        <w:t>17. Presets et persistance</w:t>
      </w:r>
    </w:p>
    <w:p>
      <w:r>
        <w:t>fonctionSavePreset parcourt les enfants de toutes les fenêtres et sérialise type et valeur, puis ajoute synthOrchestra, soundOrchestra, fxOrchestra et les huit familles de données. fonctionLoadPreset rejoue valueAction afin de restaurer à la fois l’affichage et les effets de bord.</w:t>
      </w:r>
    </w:p>
    <w:p>
      <w:pPr>
        <w:pStyle w:val="ListBullet"/>
      </w:pPr>
      <w:r>
        <w:t>Les vues sont restaurées par leur position dans children, pas par identifiant symbolique. Toute modification de l’ordre de création peut casser la compatibilité.</w:t>
      </w:r>
    </w:p>
    <w:p>
      <w:pPr>
        <w:pStyle w:val="ListBullet"/>
      </w:pPr>
      <w:r>
        <w:t>Certains contrôles sont volontairement ignorés au chargement, notamment les premiers contrôles sensibles de la fenêtre principale.</w:t>
      </w:r>
    </w:p>
    <w:p>
      <w:pPr>
        <w:pStyle w:val="ListBullet"/>
      </w:pPr>
      <w:r>
        <w:t>Init Preset.scd est réécrit à la création de la GUI.</w:t>
      </w:r>
    </w:p>
    <w:p>
      <w:pPr>
        <w:pStyle w:val="Heading1"/>
        <w:keepNext/>
      </w:pPr>
      <w:r>
        <w:t>18. Points de maintenance et risques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7365D"/>
            <w:tcMar>
              <w:top w:w="100" w:type="dxa"/>
              <w:start w:w="120" w:type="dxa"/>
              <w:bottom w:w="100" w:type="dxa"/>
              <w:end w:w="120" w:type="dxa"/>
            </w:tcMar>
            <w:vAlign w:val="center"/>
          </w:tcPr>
          <w:p>
            <w:r>
              <w:rPr>
                <w:b/>
                <w:color w:val="FFFFFF"/>
                <w:sz w:val="18"/>
              </w:rPr>
              <w:t>Zone</w:t>
            </w:r>
          </w:p>
        </w:tc>
        <w:tc>
          <w:tcPr>
            <w:tcW w:type="dxa" w:w="3456"/>
            <w:shd w:fill="17365D"/>
            <w:tcMar>
              <w:top w:w="100" w:type="dxa"/>
              <w:start w:w="120" w:type="dxa"/>
              <w:bottom w:w="100" w:type="dxa"/>
              <w:end w:w="120" w:type="dxa"/>
            </w:tcMar>
            <w:vAlign w:val="center"/>
          </w:tcPr>
          <w:p>
            <w:r>
              <w:rPr>
                <w:b/>
                <w:color w:val="FFFFFF"/>
                <w:sz w:val="18"/>
              </w:rPr>
              <w:t>Risque</w:t>
            </w:r>
          </w:p>
        </w:tc>
        <w:tc>
          <w:tcPr>
            <w:tcW w:type="dxa" w:w="4608"/>
            <w:shd w:fill="17365D"/>
            <w:tcMar>
              <w:top w:w="100" w:type="dxa"/>
              <w:start w:w="120" w:type="dxa"/>
              <w:bottom w:w="100" w:type="dxa"/>
              <w:end w:w="120" w:type="dxa"/>
            </w:tcMar>
            <w:vAlign w:val="center"/>
          </w:tcPr>
          <w:p>
            <w:r>
              <w:rPr>
                <w:b/>
                <w:color w:val="FFFFFF"/>
                <w:sz w:val="18"/>
              </w:rPr>
              <w:t>Amélioration recommandée</w:t>
            </w:r>
          </w:p>
        </w:tc>
      </w:tr>
      <w:tr>
        <w:tc>
          <w:tcPr>
            <w:tcW w:type="dxa" w:w="1728"/>
            <w:tcMar>
              <w:top w:w="100" w:type="dxa"/>
              <w:start w:w="120" w:type="dxa"/>
              <w:bottom w:w="100" w:type="dxa"/>
              <w:end w:w="120" w:type="dxa"/>
            </w:tcMar>
            <w:vAlign w:val="center"/>
          </w:tcPr>
          <w:p>
            <w:r>
              <w:rPr>
                <w:sz w:val="17"/>
              </w:rPr>
              <w:t>GUI children.at(n)</w:t>
            </w:r>
          </w:p>
        </w:tc>
        <w:tc>
          <w:tcPr>
            <w:tcW w:type="dxa" w:w="3456"/>
            <w:tcMar>
              <w:top w:w="100" w:type="dxa"/>
              <w:start w:w="120" w:type="dxa"/>
              <w:bottom w:w="100" w:type="dxa"/>
              <w:end w:w="120" w:type="dxa"/>
            </w:tcMar>
            <w:vAlign w:val="center"/>
          </w:tcPr>
          <w:p>
            <w:r>
              <w:rPr>
                <w:sz w:val="17"/>
              </w:rPr>
              <w:t>couplage fort à l’ordre des widgets</w:t>
            </w:r>
          </w:p>
        </w:tc>
        <w:tc>
          <w:tcPr>
            <w:tcW w:type="dxa" w:w="4608"/>
            <w:tcMar>
              <w:top w:w="100" w:type="dxa"/>
              <w:start w:w="120" w:type="dxa"/>
              <w:bottom w:w="100" w:type="dxa"/>
              <w:end w:w="120" w:type="dxa"/>
            </w:tcMar>
            <w:vAlign w:val="center"/>
          </w:tcPr>
          <w:p>
            <w:r>
              <w:rPr>
                <w:sz w:val="17"/>
              </w:rPr>
              <w:t>conserver des références nommées ou dictionnaire de contrôles</w:t>
            </w:r>
          </w:p>
        </w:tc>
      </w:tr>
      <w:tr>
        <w:tc>
          <w:tcPr>
            <w:tcW w:type="dxa" w:w="1728"/>
            <w:tcMar>
              <w:top w:w="100" w:type="dxa"/>
              <w:start w:w="120" w:type="dxa"/>
              <w:bottom w:w="100" w:type="dxa"/>
              <w:end w:w="120" w:type="dxa"/>
            </w:tcMar>
            <w:vAlign w:val="center"/>
            <w:shd w:fill="F5F8FA"/>
          </w:tcPr>
          <w:p>
            <w:r>
              <w:rPr>
                <w:sz w:val="17"/>
              </w:rPr>
              <w:t>Tableaux non initialisés</w:t>
            </w:r>
          </w:p>
        </w:tc>
        <w:tc>
          <w:tcPr>
            <w:tcW w:type="dxa" w:w="3456"/>
            <w:tcMar>
              <w:top w:w="100" w:type="dxa"/>
              <w:start w:w="120" w:type="dxa"/>
              <w:bottom w:w="100" w:type="dxa"/>
              <w:end w:w="120" w:type="dxa"/>
            </w:tcMar>
            <w:vAlign w:val="center"/>
            <w:shd w:fill="F5F8FA"/>
          </w:tcPr>
          <w:p>
            <w:r>
              <w:rPr>
                <w:sz w:val="17"/>
              </w:rPr>
              <w:t>plusieurs variables sont utilisées avec .add</w:t>
            </w:r>
          </w:p>
        </w:tc>
        <w:tc>
          <w:tcPr>
            <w:tcW w:type="dxa" w:w="4608"/>
            <w:tcMar>
              <w:top w:w="100" w:type="dxa"/>
              <w:start w:w="120" w:type="dxa"/>
              <w:bottom w:w="100" w:type="dxa"/>
              <w:end w:w="120" w:type="dxa"/>
            </w:tcMar>
            <w:vAlign w:val="center"/>
            <w:shd w:fill="F5F8FA"/>
          </w:tcPr>
          <w:p>
            <w:r>
              <w:rPr>
                <w:sz w:val="17"/>
              </w:rPr>
              <w:t>initialiser explicitement tous les Array dans init</w:t>
            </w:r>
          </w:p>
        </w:tc>
      </w:tr>
      <w:tr>
        <w:tc>
          <w:tcPr>
            <w:tcW w:type="dxa" w:w="1728"/>
            <w:tcMar>
              <w:top w:w="100" w:type="dxa"/>
              <w:start w:w="120" w:type="dxa"/>
              <w:bottom w:w="100" w:type="dxa"/>
              <w:end w:w="120" w:type="dxa"/>
            </w:tcMar>
            <w:vAlign w:val="center"/>
          </w:tcPr>
          <w:p>
            <w:r>
              <w:rPr>
                <w:sz w:val="17"/>
              </w:rPr>
              <w:t>Conditions booléennes</w:t>
            </w:r>
          </w:p>
        </w:tc>
        <w:tc>
          <w:tcPr>
            <w:tcW w:type="dxa" w:w="3456"/>
            <w:tcMar>
              <w:top w:w="100" w:type="dxa"/>
              <w:start w:w="120" w:type="dxa"/>
              <w:bottom w:w="100" w:type="dxa"/>
              <w:end w:w="120" w:type="dxa"/>
            </w:tcMar>
            <w:vAlign w:val="center"/>
          </w:tcPr>
          <w:p>
            <w:r>
              <w:rPr>
                <w:sz w:val="17"/>
              </w:rPr>
              <w:t>priorité and/or parfois ambiguë</w:t>
            </w:r>
          </w:p>
        </w:tc>
        <w:tc>
          <w:tcPr>
            <w:tcW w:type="dxa" w:w="4608"/>
            <w:tcMar>
              <w:top w:w="100" w:type="dxa"/>
              <w:start w:w="120" w:type="dxa"/>
              <w:bottom w:w="100" w:type="dxa"/>
              <w:end w:w="120" w:type="dxa"/>
            </w:tcMar>
            <w:vAlign w:val="center"/>
          </w:tcPr>
          <w:p>
            <w:r>
              <w:rPr>
                <w:sz w:val="17"/>
              </w:rPr>
              <w:t>ajouter des parenthèses et tests unitaires</w:t>
            </w:r>
          </w:p>
        </w:tc>
      </w:tr>
      <w:tr>
        <w:tc>
          <w:tcPr>
            <w:tcW w:type="dxa" w:w="1728"/>
            <w:tcMar>
              <w:top w:w="100" w:type="dxa"/>
              <w:start w:w="120" w:type="dxa"/>
              <w:bottom w:w="100" w:type="dxa"/>
              <w:end w:w="120" w:type="dxa"/>
            </w:tcMar>
            <w:vAlign w:val="center"/>
            <w:shd w:fill="F5F8FA"/>
          </w:tcPr>
          <w:p>
            <w:r>
              <w:rPr>
                <w:sz w:val="17"/>
              </w:rPr>
              <w:t>Centroid bus</w:t>
            </w:r>
          </w:p>
        </w:tc>
        <w:tc>
          <w:tcPr>
            <w:tcW w:type="dxa" w:w="3456"/>
            <w:tcMar>
              <w:top w:w="100" w:type="dxa"/>
              <w:start w:w="120" w:type="dxa"/>
              <w:bottom w:w="100" w:type="dxa"/>
              <w:end w:w="120" w:type="dxa"/>
            </w:tcMar>
            <w:vAlign w:val="center"/>
            <w:shd w:fill="F5F8FA"/>
          </w:tcPr>
          <w:p>
            <w:r>
              <w:rPr>
                <w:sz w:val="17"/>
              </w:rPr>
              <w:t>busOSCcentroid reçoit energy dans oscFFT</w:t>
            </w:r>
          </w:p>
        </w:tc>
        <w:tc>
          <w:tcPr>
            <w:tcW w:type="dxa" w:w="4608"/>
            <w:tcMar>
              <w:top w:w="100" w:type="dxa"/>
              <w:start w:w="120" w:type="dxa"/>
              <w:bottom w:w="100" w:type="dxa"/>
              <w:end w:w="120" w:type="dxa"/>
            </w:tcMar>
            <w:vAlign w:val="center"/>
            <w:shd w:fill="F5F8FA"/>
          </w:tcPr>
          <w:p>
            <w:r>
              <w:rPr>
                <w:sz w:val="17"/>
              </w:rPr>
              <w:t>vérifier et corriger si non intentionnel</w:t>
            </w:r>
          </w:p>
        </w:tc>
      </w:tr>
      <w:tr>
        <w:tc>
          <w:tcPr>
            <w:tcW w:type="dxa" w:w="1728"/>
            <w:tcMar>
              <w:top w:w="100" w:type="dxa"/>
              <w:start w:w="120" w:type="dxa"/>
              <w:bottom w:w="100" w:type="dxa"/>
              <w:end w:w="120" w:type="dxa"/>
            </w:tcMar>
            <w:vAlign w:val="center"/>
          </w:tcPr>
          <w:p>
            <w:r>
              <w:rPr>
                <w:sz w:val="17"/>
              </w:rPr>
              <w:t>Audio options</w:t>
            </w:r>
          </w:p>
        </w:tc>
        <w:tc>
          <w:tcPr>
            <w:tcW w:type="dxa" w:w="3456"/>
            <w:tcMar>
              <w:top w:w="100" w:type="dxa"/>
              <w:start w:w="120" w:type="dxa"/>
              <w:bottom w:w="100" w:type="dxa"/>
              <w:end w:w="120" w:type="dxa"/>
            </w:tcMar>
            <w:vAlign w:val="center"/>
          </w:tcPr>
          <w:p>
            <w:r>
              <w:rPr>
                <w:sz w:val="17"/>
              </w:rPr>
              <w:t>numInputBusChannels modifié lors du format de sortie</w:t>
            </w:r>
          </w:p>
        </w:tc>
        <w:tc>
          <w:tcPr>
            <w:tcW w:type="dxa" w:w="4608"/>
            <w:tcMar>
              <w:top w:w="100" w:type="dxa"/>
              <w:start w:w="120" w:type="dxa"/>
              <w:bottom w:w="100" w:type="dxa"/>
              <w:end w:w="120" w:type="dxa"/>
            </w:tcMar>
            <w:vAlign w:val="center"/>
          </w:tcPr>
          <w:p>
            <w:r>
              <w:rPr>
                <w:sz w:val="17"/>
              </w:rPr>
              <w:t>redémarrage serveur possiblement requis</w:t>
            </w:r>
          </w:p>
        </w:tc>
      </w:tr>
      <w:tr>
        <w:tc>
          <w:tcPr>
            <w:tcW w:type="dxa" w:w="1728"/>
            <w:tcMar>
              <w:top w:w="100" w:type="dxa"/>
              <w:start w:w="120" w:type="dxa"/>
              <w:bottom w:w="100" w:type="dxa"/>
              <w:end w:w="120" w:type="dxa"/>
            </w:tcMar>
            <w:vAlign w:val="center"/>
            <w:shd w:fill="F5F8FA"/>
          </w:tcPr>
          <w:p>
            <w:r>
              <w:rPr>
                <w:sz w:val="17"/>
              </w:rPr>
              <w:t>MIDI cleanup</w:t>
            </w:r>
          </w:p>
        </w:tc>
        <w:tc>
          <w:tcPr>
            <w:tcW w:type="dxa" w:w="3456"/>
            <w:tcMar>
              <w:top w:w="100" w:type="dxa"/>
              <w:start w:w="120" w:type="dxa"/>
              <w:bottom w:w="100" w:type="dxa"/>
              <w:end w:w="120" w:type="dxa"/>
            </w:tcMar>
            <w:vAlign w:val="center"/>
            <w:shd w:fill="F5F8FA"/>
          </w:tcPr>
          <w:p>
            <w:r>
              <w:rPr>
                <w:sz w:val="17"/>
              </w:rPr>
              <w:t>data.at(22).stop sans test nil dans une branche</w:t>
            </w:r>
          </w:p>
        </w:tc>
        <w:tc>
          <w:tcPr>
            <w:tcW w:type="dxa" w:w="4608"/>
            <w:tcMar>
              <w:top w:w="100" w:type="dxa"/>
              <w:start w:w="120" w:type="dxa"/>
              <w:bottom w:w="100" w:type="dxa"/>
              <w:end w:w="120" w:type="dxa"/>
            </w:tcMar>
            <w:vAlign w:val="center"/>
            <w:shd w:fill="F5F8FA"/>
          </w:tcPr>
          <w:p>
            <w:r>
              <w:rPr>
                <w:sz w:val="17"/>
              </w:rPr>
              <w:t>garder chaque ressource optionnelle séparément</w:t>
            </w:r>
          </w:p>
        </w:tc>
      </w:tr>
      <w:tr>
        <w:tc>
          <w:tcPr>
            <w:tcW w:type="dxa" w:w="1728"/>
            <w:tcMar>
              <w:top w:w="100" w:type="dxa"/>
              <w:start w:w="120" w:type="dxa"/>
              <w:bottom w:w="100" w:type="dxa"/>
              <w:end w:w="120" w:type="dxa"/>
            </w:tcMar>
            <w:vAlign w:val="center"/>
          </w:tcPr>
          <w:p>
            <w:r>
              <w:rPr>
                <w:sz w:val="17"/>
              </w:rPr>
              <w:t>Division</w:t>
            </w:r>
          </w:p>
        </w:tc>
        <w:tc>
          <w:tcPr>
            <w:tcW w:type="dxa" w:w="3456"/>
            <w:tcMar>
              <w:top w:w="100" w:type="dxa"/>
              <w:start w:w="120" w:type="dxa"/>
              <w:bottom w:w="100" w:type="dxa"/>
              <w:end w:w="120" w:type="dxa"/>
            </w:tcMar>
            <w:vAlign w:val="center"/>
          </w:tcPr>
          <w:p>
            <w:r>
              <w:rPr>
                <w:sz w:val="17"/>
              </w:rPr>
              <w:t>CV, réciproques et globalDensity</w:t>
            </w:r>
          </w:p>
        </w:tc>
        <w:tc>
          <w:tcPr>
            <w:tcW w:type="dxa" w:w="4608"/>
            <w:tcMar>
              <w:top w:w="100" w:type="dxa"/>
              <w:start w:w="120" w:type="dxa"/>
              <w:bottom w:w="100" w:type="dxa"/>
              <w:end w:w="120" w:type="dxa"/>
            </w:tcMar>
            <w:vAlign w:val="center"/>
          </w:tcPr>
          <w:p>
            <w:r>
              <w:rPr>
                <w:sz w:val="17"/>
              </w:rPr>
              <w:t>protéger moyennes nulles et valeurs zéro</w:t>
            </w:r>
          </w:p>
        </w:tc>
      </w:tr>
      <w:tr>
        <w:tc>
          <w:tcPr>
            <w:tcW w:type="dxa" w:w="1728"/>
            <w:tcMar>
              <w:top w:w="100" w:type="dxa"/>
              <w:start w:w="120" w:type="dxa"/>
              <w:bottom w:w="100" w:type="dxa"/>
              <w:end w:w="120" w:type="dxa"/>
            </w:tcMar>
            <w:vAlign w:val="center"/>
            <w:shd w:fill="F5F8FA"/>
          </w:tcPr>
          <w:p>
            <w:r>
              <w:rPr>
                <w:sz w:val="17"/>
              </w:rPr>
              <w:t>Chargement sons</w:t>
            </w:r>
          </w:p>
        </w:tc>
        <w:tc>
          <w:tcPr>
            <w:tcW w:type="dxa" w:w="3456"/>
            <w:tcMar>
              <w:top w:w="100" w:type="dxa"/>
              <w:start w:w="120" w:type="dxa"/>
              <w:bottom w:w="100" w:type="dxa"/>
              <w:end w:w="120" w:type="dxa"/>
            </w:tcMar>
            <w:vAlign w:val="center"/>
            <w:shd w:fill="F5F8FA"/>
          </w:tcPr>
          <w:p>
            <w:r>
              <w:rPr>
                <w:sz w:val="17"/>
              </w:rPr>
              <w:t>mdfind spécifique macOS</w:t>
            </w:r>
          </w:p>
        </w:tc>
        <w:tc>
          <w:tcPr>
            <w:tcW w:type="dxa" w:w="4608"/>
            <w:tcMar>
              <w:top w:w="100" w:type="dxa"/>
              <w:start w:w="120" w:type="dxa"/>
              <w:bottom w:w="100" w:type="dxa"/>
              <w:end w:w="120" w:type="dxa"/>
            </w:tcMar>
            <w:vAlign w:val="center"/>
            <w:shd w:fill="F5F8FA"/>
          </w:tcPr>
          <w:p>
            <w:r>
              <w:rPr>
                <w:sz w:val="17"/>
              </w:rPr>
              <w:t>prévoir résolution de chemins portable</w:t>
            </w:r>
          </w:p>
        </w:tc>
      </w:tr>
    </w:tbl>
    <w:p/>
    <w:p>
      <w:pPr>
        <w:pStyle w:val="Heading1"/>
        <w:keepNext/>
      </w:pPr>
      <w:r>
        <w:t>19. Carte des fonctions principales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shd w:fill="17365D"/>
            <w:tcMar>
              <w:top w:w="100" w:type="dxa"/>
              <w:start w:w="120" w:type="dxa"/>
              <w:bottom w:w="100" w:type="dxa"/>
              <w:end w:w="120" w:type="dxa"/>
            </w:tcMar>
            <w:vAlign w:val="center"/>
          </w:tcPr>
          <w:p>
            <w:r>
              <w:rPr>
                <w:b/>
                <w:color w:val="FFFFFF"/>
                <w:sz w:val="18"/>
              </w:rPr>
              <w:t>Fonction</w:t>
            </w:r>
          </w:p>
        </w:tc>
        <w:tc>
          <w:tcPr>
            <w:tcW w:type="dxa" w:w="3312"/>
            <w:shd w:fill="17365D"/>
            <w:tcMar>
              <w:top w:w="100" w:type="dxa"/>
              <w:start w:w="120" w:type="dxa"/>
              <w:bottom w:w="100" w:type="dxa"/>
              <w:end w:w="120" w:type="dxa"/>
            </w:tcMar>
            <w:vAlign w:val="center"/>
          </w:tcPr>
          <w:p>
            <w:r>
              <w:rPr>
                <w:b/>
                <w:color w:val="FFFFFF"/>
                <w:sz w:val="18"/>
              </w:rPr>
              <w:t>Entrées</w:t>
            </w:r>
          </w:p>
        </w:tc>
        <w:tc>
          <w:tcPr>
            <w:tcW w:type="dxa" w:w="3888"/>
            <w:shd w:fill="17365D"/>
            <w:tcMar>
              <w:top w:w="100" w:type="dxa"/>
              <w:start w:w="120" w:type="dxa"/>
              <w:bottom w:w="100" w:type="dxa"/>
              <w:end w:w="120" w:type="dxa"/>
            </w:tcMar>
            <w:vAlign w:val="center"/>
          </w:tcPr>
          <w:p>
            <w:r>
              <w:rPr>
                <w:b/>
                <w:color w:val="FFFFFF"/>
                <w:sz w:val="18"/>
              </w:rPr>
              <w:t>Sorties/effets</w:t>
            </w:r>
          </w:p>
        </w:tc>
      </w:tr>
      <w:tr>
        <w:tc>
          <w:tcPr>
            <w:tcW w:type="dxa" w:w="2592"/>
            <w:tcMar>
              <w:top w:w="100" w:type="dxa"/>
              <w:start w:w="120" w:type="dxa"/>
              <w:bottom w:w="100" w:type="dxa"/>
              <w:end w:w="120" w:type="dxa"/>
            </w:tcMar>
            <w:vAlign w:val="center"/>
          </w:tcPr>
          <w:p>
            <w:r>
              <w:rPr>
                <w:sz w:val="17"/>
              </w:rPr>
              <w:t>fonctionLoadFileForAnalyse</w:t>
            </w:r>
          </w:p>
        </w:tc>
        <w:tc>
          <w:tcPr>
            <w:tcW w:type="dxa" w:w="3312"/>
            <w:tcMar>
              <w:top w:w="100" w:type="dxa"/>
              <w:start w:w="120" w:type="dxa"/>
              <w:bottom w:w="100" w:type="dxa"/>
              <w:end w:w="120" w:type="dxa"/>
            </w:tcMar>
            <w:vAlign w:val="center"/>
          </w:tcPr>
          <w:p>
            <w:r>
              <w:rPr>
                <w:sz w:val="17"/>
              </w:rPr>
              <w:t>chemin</w:t>
            </w:r>
          </w:p>
        </w:tc>
        <w:tc>
          <w:tcPr>
            <w:tcW w:type="dxa" w:w="3888"/>
            <w:tcMar>
              <w:top w:w="100" w:type="dxa"/>
              <w:start w:w="120" w:type="dxa"/>
              <w:bottom w:w="100" w:type="dxa"/>
              <w:end w:w="120" w:type="dxa"/>
            </w:tcMar>
            <w:vAlign w:val="center"/>
          </w:tcPr>
          <w:p>
            <w:r>
              <w:rPr>
                <w:sz w:val="17"/>
              </w:rPr>
              <w:t>buffer stéréo pour analyse</w:t>
            </w:r>
          </w:p>
        </w:tc>
      </w:tr>
      <w:tr>
        <w:tc>
          <w:tcPr>
            <w:tcW w:type="dxa" w:w="2592"/>
            <w:tcMar>
              <w:top w:w="100" w:type="dxa"/>
              <w:start w:w="120" w:type="dxa"/>
              <w:bottom w:w="100" w:type="dxa"/>
              <w:end w:w="120" w:type="dxa"/>
            </w:tcMar>
            <w:vAlign w:val="center"/>
            <w:shd w:fill="F5F8FA"/>
          </w:tcPr>
          <w:p>
            <w:r>
              <w:rPr>
                <w:sz w:val="17"/>
              </w:rPr>
              <w:t>fonctionLoadSoundOrchestra</w:t>
            </w:r>
          </w:p>
        </w:tc>
        <w:tc>
          <w:tcPr>
            <w:tcW w:type="dxa" w:w="3312"/>
            <w:tcMar>
              <w:top w:w="100" w:type="dxa"/>
              <w:start w:w="120" w:type="dxa"/>
              <w:bottom w:w="100" w:type="dxa"/>
              <w:end w:w="120" w:type="dxa"/>
            </w:tcMar>
            <w:vAlign w:val="center"/>
            <w:shd w:fill="F5F8FA"/>
          </w:tcPr>
          <w:p>
            <w:r>
              <w:rPr>
                <w:sz w:val="17"/>
              </w:rPr>
              <w:t>liste de chemins</w:t>
            </w:r>
          </w:p>
        </w:tc>
        <w:tc>
          <w:tcPr>
            <w:tcW w:type="dxa" w:w="3888"/>
            <w:tcMar>
              <w:top w:w="100" w:type="dxa"/>
              <w:start w:w="120" w:type="dxa"/>
              <w:bottom w:w="100" w:type="dxa"/>
              <w:end w:w="120" w:type="dxa"/>
            </w:tcMar>
            <w:vAlign w:val="center"/>
            <w:shd w:fill="F5F8FA"/>
          </w:tcPr>
          <w:p>
            <w:r>
              <w:rPr>
                <w:sz w:val="17"/>
              </w:rPr>
              <w:t>listeBuffer par familles</w:t>
            </w:r>
          </w:p>
        </w:tc>
      </w:tr>
      <w:tr>
        <w:tc>
          <w:tcPr>
            <w:tcW w:type="dxa" w:w="2592"/>
            <w:tcMar>
              <w:top w:w="100" w:type="dxa"/>
              <w:start w:w="120" w:type="dxa"/>
              <w:bottom w:w="100" w:type="dxa"/>
              <w:end w:w="120" w:type="dxa"/>
            </w:tcMar>
            <w:vAlign w:val="center"/>
          </w:tcPr>
          <w:p>
            <w:r>
              <w:rPr>
                <w:sz w:val="17"/>
              </w:rPr>
              <w:t>computeAlgoFilterDataMusic</w:t>
            </w:r>
          </w:p>
        </w:tc>
        <w:tc>
          <w:tcPr>
            <w:tcW w:type="dxa" w:w="3312"/>
            <w:tcMar>
              <w:top w:w="100" w:type="dxa"/>
              <w:start w:w="120" w:type="dxa"/>
              <w:bottom w:w="100" w:type="dxa"/>
              <w:end w:w="120" w:type="dxa"/>
            </w:tcMar>
            <w:vAlign w:val="center"/>
          </w:tcPr>
          <w:p>
            <w:r>
              <w:rPr>
                <w:sz w:val="17"/>
              </w:rPr>
              <w:t>F/A/D normalisés + statistiques + algo</w:t>
            </w:r>
          </w:p>
        </w:tc>
        <w:tc>
          <w:tcPr>
            <w:tcW w:type="dxa" w:w="3888"/>
            <w:tcMar>
              <w:top w:w="100" w:type="dxa"/>
              <w:start w:w="120" w:type="dxa"/>
              <w:bottom w:w="100" w:type="dxa"/>
              <w:end w:w="120" w:type="dxa"/>
            </w:tcMar>
            <w:vAlign w:val="center"/>
          </w:tcPr>
          <w:p>
            <w:r>
              <w:rPr>
                <w:sz w:val="17"/>
              </w:rPr>
              <w:t>newFreq/newAmp/newDuree</w:t>
            </w:r>
          </w:p>
        </w:tc>
      </w:tr>
      <w:tr>
        <w:tc>
          <w:tcPr>
            <w:tcW w:type="dxa" w:w="2592"/>
            <w:tcMar>
              <w:top w:w="100" w:type="dxa"/>
              <w:start w:w="120" w:type="dxa"/>
              <w:bottom w:w="100" w:type="dxa"/>
              <w:end w:w="120" w:type="dxa"/>
            </w:tcMar>
            <w:vAlign w:val="center"/>
            <w:shd w:fill="F5F8FA"/>
          </w:tcPr>
          <w:p>
            <w:r>
              <w:rPr>
                <w:sz w:val="17"/>
              </w:rPr>
              <w:t>buildSynth</w:t>
            </w:r>
          </w:p>
        </w:tc>
        <w:tc>
          <w:tcPr>
            <w:tcW w:type="dxa" w:w="3312"/>
            <w:tcMar>
              <w:top w:w="100" w:type="dxa"/>
              <w:start w:w="120" w:type="dxa"/>
              <w:bottom w:w="100" w:type="dxa"/>
              <w:end w:w="120" w:type="dxa"/>
            </w:tcMar>
            <w:vAlign w:val="center"/>
            <w:shd w:fill="F5F8FA"/>
          </w:tcPr>
          <w:p>
            <w:r>
              <w:rPr>
                <w:sz w:val="17"/>
              </w:rPr>
              <w:t>index de bande</w:t>
            </w:r>
          </w:p>
        </w:tc>
        <w:tc>
          <w:tcPr>
            <w:tcW w:type="dxa" w:w="3888"/>
            <w:tcMar>
              <w:top w:w="100" w:type="dxa"/>
              <w:start w:w="120" w:type="dxa"/>
              <w:bottom w:w="100" w:type="dxa"/>
              <w:end w:w="120" w:type="dxa"/>
            </w:tcMar>
            <w:vAlign w:val="center"/>
            <w:shd w:fill="F5F8FA"/>
          </w:tcPr>
          <w:p>
            <w:r>
              <w:rPr>
                <w:sz w:val="17"/>
              </w:rPr>
              <w:t>chaîne buffer → synth → FX → master</w:t>
            </w:r>
          </w:p>
        </w:tc>
      </w:tr>
      <w:tr>
        <w:tc>
          <w:tcPr>
            <w:tcW w:type="dxa" w:w="2592"/>
            <w:tcMar>
              <w:top w:w="100" w:type="dxa"/>
              <w:start w:w="120" w:type="dxa"/>
              <w:bottom w:w="100" w:type="dxa"/>
              <w:end w:w="120" w:type="dxa"/>
            </w:tcMar>
            <w:vAlign w:val="center"/>
          </w:tcPr>
          <w:p>
            <w:r>
              <w:rPr>
                <w:sz w:val="17"/>
              </w:rPr>
              <w:t>fonctionBand</w:t>
            </w:r>
          </w:p>
        </w:tc>
        <w:tc>
          <w:tcPr>
            <w:tcW w:type="dxa" w:w="3312"/>
            <w:tcMar>
              <w:top w:w="100" w:type="dxa"/>
              <w:start w:w="120" w:type="dxa"/>
              <w:bottom w:w="100" w:type="dxa"/>
              <w:end w:w="120" w:type="dxa"/>
            </w:tcMar>
            <w:vAlign w:val="center"/>
          </w:tcPr>
          <w:p>
            <w:r>
              <w:rPr>
                <w:sz w:val="17"/>
              </w:rPr>
              <w:t>états boutons</w:t>
            </w:r>
          </w:p>
        </w:tc>
        <w:tc>
          <w:tcPr>
            <w:tcW w:type="dxa" w:w="3888"/>
            <w:tcMar>
              <w:top w:w="100" w:type="dxa"/>
              <w:start w:w="120" w:type="dxa"/>
              <w:bottom w:w="100" w:type="dxa"/>
              <w:end w:w="120" w:type="dxa"/>
            </w:tcMar>
            <w:vAlign w:val="center"/>
          </w:tcPr>
          <w:p>
            <w:r>
              <w:rPr>
                <w:sz w:val="17"/>
              </w:rPr>
              <w:t>rangeSynthBand</w:t>
            </w:r>
          </w:p>
        </w:tc>
      </w:tr>
      <w:tr>
        <w:tc>
          <w:tcPr>
            <w:tcW w:type="dxa" w:w="2592"/>
            <w:tcMar>
              <w:top w:w="100" w:type="dxa"/>
              <w:start w:w="120" w:type="dxa"/>
              <w:bottom w:w="100" w:type="dxa"/>
              <w:end w:w="120" w:type="dxa"/>
            </w:tcMar>
            <w:vAlign w:val="center"/>
            <w:shd w:fill="F5F8FA"/>
          </w:tcPr>
          <w:p>
            <w:r>
              <w:rPr>
                <w:sz w:val="17"/>
              </w:rPr>
              <w:t>fonctionSavePreset</w:t>
            </w:r>
          </w:p>
        </w:tc>
        <w:tc>
          <w:tcPr>
            <w:tcW w:type="dxa" w:w="3312"/>
            <w:tcMar>
              <w:top w:w="100" w:type="dxa"/>
              <w:start w:w="120" w:type="dxa"/>
              <w:bottom w:w="100" w:type="dxa"/>
              <w:end w:w="120" w:type="dxa"/>
            </w:tcMar>
            <w:vAlign w:val="center"/>
            <w:shd w:fill="F5F8FA"/>
          </w:tcPr>
          <w:p>
            <w:r>
              <w:rPr>
                <w:sz w:val="17"/>
              </w:rPr>
              <w:t>fenêtres</w:t>
            </w:r>
          </w:p>
        </w:tc>
        <w:tc>
          <w:tcPr>
            <w:tcW w:type="dxa" w:w="3888"/>
            <w:tcMar>
              <w:top w:w="100" w:type="dxa"/>
              <w:start w:w="120" w:type="dxa"/>
              <w:bottom w:w="100" w:type="dxa"/>
              <w:end w:w="120" w:type="dxa"/>
            </w:tcMar>
            <w:vAlign w:val="center"/>
            <w:shd w:fill="F5F8FA"/>
          </w:tcPr>
          <w:p>
            <w:r>
              <w:rPr>
                <w:sz w:val="17"/>
              </w:rPr>
              <w:t>tableau sérialisable</w:t>
            </w:r>
          </w:p>
        </w:tc>
      </w:tr>
      <w:tr>
        <w:tc>
          <w:tcPr>
            <w:tcW w:type="dxa" w:w="2592"/>
            <w:tcMar>
              <w:top w:w="100" w:type="dxa"/>
              <w:start w:w="120" w:type="dxa"/>
              <w:bottom w:w="100" w:type="dxa"/>
              <w:end w:w="120" w:type="dxa"/>
            </w:tcMar>
            <w:vAlign w:val="center"/>
          </w:tcPr>
          <w:p>
            <w:r>
              <w:rPr>
                <w:sz w:val="17"/>
              </w:rPr>
              <w:t>fonctionLoadPreset</w:t>
            </w:r>
          </w:p>
        </w:tc>
        <w:tc>
          <w:tcPr>
            <w:tcW w:type="dxa" w:w="3312"/>
            <w:tcMar>
              <w:top w:w="100" w:type="dxa"/>
              <w:start w:w="120" w:type="dxa"/>
              <w:bottom w:w="100" w:type="dxa"/>
              <w:end w:w="120" w:type="dxa"/>
            </w:tcMar>
            <w:vAlign w:val="center"/>
          </w:tcPr>
          <w:p>
            <w:r>
              <w:rPr>
                <w:sz w:val="17"/>
              </w:rPr>
              <w:t>tableau</w:t>
            </w:r>
          </w:p>
        </w:tc>
        <w:tc>
          <w:tcPr>
            <w:tcW w:type="dxa" w:w="3888"/>
            <w:tcMar>
              <w:top w:w="100" w:type="dxa"/>
              <w:start w:w="120" w:type="dxa"/>
              <w:bottom w:w="100" w:type="dxa"/>
              <w:end w:w="120" w:type="dxa"/>
            </w:tcMar>
            <w:vAlign w:val="center"/>
          </w:tcPr>
          <w:p>
            <w:r>
              <w:rPr>
                <w:sz w:val="17"/>
              </w:rPr>
              <w:t>restauration GUI, orchestres, mémoire</w:t>
            </w:r>
          </w:p>
        </w:tc>
      </w:tr>
      <w:tr>
        <w:tc>
          <w:tcPr>
            <w:tcW w:type="dxa" w:w="2592"/>
            <w:tcMar>
              <w:top w:w="100" w:type="dxa"/>
              <w:start w:w="120" w:type="dxa"/>
              <w:bottom w:w="100" w:type="dxa"/>
              <w:end w:w="120" w:type="dxa"/>
            </w:tcMar>
            <w:vAlign w:val="center"/>
            <w:shd w:fill="F5F8FA"/>
          </w:tcPr>
          <w:p>
            <w:r>
              <w:rPr>
                <w:sz w:val="17"/>
              </w:rPr>
              <w:t>plotDataFFT / Music</w:t>
            </w:r>
          </w:p>
        </w:tc>
        <w:tc>
          <w:tcPr>
            <w:tcW w:type="dxa" w:w="3312"/>
            <w:tcMar>
              <w:top w:w="100" w:type="dxa"/>
              <w:start w:w="120" w:type="dxa"/>
              <w:bottom w:w="100" w:type="dxa"/>
              <w:end w:w="120" w:type="dxa"/>
            </w:tcMar>
            <w:vAlign w:val="center"/>
            <w:shd w:fill="F5F8FA"/>
          </w:tcPr>
          <w:p>
            <w:r>
              <w:rPr>
                <w:sz w:val="17"/>
              </w:rPr>
              <w:t>valeurs reçues</w:t>
            </w:r>
          </w:p>
        </w:tc>
        <w:tc>
          <w:tcPr>
            <w:tcW w:type="dxa" w:w="3888"/>
            <w:tcMar>
              <w:top w:w="100" w:type="dxa"/>
              <w:start w:w="120" w:type="dxa"/>
              <w:bottom w:w="100" w:type="dxa"/>
              <w:end w:w="120" w:type="dxa"/>
            </w:tcMar>
            <w:vAlign w:val="center"/>
            <w:shd w:fill="F5F8FA"/>
          </w:tcPr>
          <w:p>
            <w:r>
              <w:rPr>
                <w:sz w:val="17"/>
              </w:rPr>
              <w:t>plotters et textes d’état</w:t>
            </w:r>
          </w:p>
        </w:tc>
      </w:tr>
    </w:tbl>
    <w:p/>
    <w:p>
      <w:pPr>
        <w:pStyle w:val="Heading1"/>
        <w:keepNext/>
      </w:pPr>
      <w:r>
        <w:t>20. Résumé du cycle complet</w:t>
      </w:r>
    </w:p>
    <w:p>
      <w:pPr>
        <w:pStyle w:val="ListNumber"/>
      </w:pPr>
      <w:r>
        <w:t>Une source alimente busAnalyzeIn et éventuellement busRecAudioIn.</w:t>
      </w:r>
    </w:p>
    <w:p>
      <w:pPr>
        <w:pStyle w:val="ListNumber"/>
      </w:pPr>
      <w:r>
        <w:t>Les SynthDef d’analyse envoient des événements et descripteurs par OSC.</w:t>
      </w:r>
    </w:p>
    <w:p>
      <w:pPr>
        <w:pStyle w:val="ListNumber"/>
      </w:pPr>
      <w:r>
        <w:t>sclang filtre, temporise, classe par bande et mémorise les données.</w:t>
      </w:r>
    </w:p>
    <w:p>
      <w:pPr>
        <w:pStyle w:val="ListNumber"/>
      </w:pPr>
      <w:r>
        <w:t>Player choisit une bande et appelle buildSynth selon densité et nombre maximal de voix.</w:t>
      </w:r>
    </w:p>
    <w:p>
      <w:pPr>
        <w:pStyle w:val="ListNumber"/>
      </w:pPr>
      <w:r>
        <w:t>buildSynth résume les données, choisit un algorithme et produit des séquences musicales.</w:t>
      </w:r>
    </w:p>
    <w:p>
      <w:pPr>
        <w:pStyle w:val="ListNumber"/>
      </w:pPr>
      <w:r>
        <w:t>Une chaîne synthèse → FX → masterOut est créée, avec MIDI/VST éventuels.</w:t>
      </w:r>
    </w:p>
    <w:p>
      <w:pPr>
        <w:pStyle w:val="ListNumber"/>
      </w:pPr>
      <w:r>
        <w:t>Les Stream suivent les nouvelles données; les Step rejouent leur pattern.</w:t>
      </w:r>
    </w:p>
    <w:p>
      <w:pPr>
        <w:pStyle w:val="ListNumber"/>
      </w:pPr>
      <w:r>
        <w:t>À échéance, toutes les ressources de la voix sont libérées et le bus est recyclé.</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27A"/>
        <w:sz w:val="16"/>
      </w:rPr>
      <w:t xml:space="preserve">Density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8EA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D6A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abel">
    <w:name w:val="CodeLabel"/>
    <w:rPr>
      <w:rFonts w:ascii="Aptos" w:hAnsi="Aptos"/>
      <w:b/>
      <w:color w:val="1F8EA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Guide fonctionnement logique Density</dc:title>
  <dc:subject>Documentation de Density</dc:subject>
  <dc:creator>Provini, Hervé</dc:creator>
  <keywords/>
  <dc:description>generated by python-docx</dc:description>
  <lastModifiedBy>Provini, Hervé</lastModifiedBy>
  <revision>1</revision>
  <dcterms:created xsi:type="dcterms:W3CDTF">2026-10-04T09:11:06.8356861Z</dcterms:created>
  <dcterms:modified xsi:type="dcterms:W3CDTF">2026-10-04T09:11:06.8356861Z</dcterms:modified>
  <category/>
</coreProperties>
</file>