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Week6_ in this folder.</w:t>
      </w:r>
    </w:p>
    <w:p>
      <w:pPr>
        <w:pStyle w:val="Heading1"/>
        <w:spacing w:after="200"/>
        <w:jc w:val="center"/>
      </w:pPr>
      <w:r>
        <w:t xml:space="preserve">Week 6: Exercise Solutions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Exercise 1: Document Chunking Comparison</w:t>
      </w:r>
    </w:p>
    <w:p>
      <w:pPr>
        <w:spacing w:after="80"/>
      </w:pPr>
      <w:r>
        <w:t xml:space="preserve">Implement functions for fixed-size, recursive, and semantic chunking.</w:t>
      </w:r>
    </w:p>
    <w:p>
      <w:pPr>
        <w:spacing w:after="80"/>
      </w:pPr>
      <w:r>
        <w:t xml:space="preserve">Load a sample document (e.g., research paper).</w:t>
      </w:r>
    </w:p>
    <w:p>
      <w:pPr>
        <w:spacing w:after="80"/>
      </w:pPr>
      <w:r>
        <w:t xml:space="preserve">Use each strategy to chunk the document.</w:t>
      </w:r>
    </w:p>
    <w:p>
      <w:pPr>
        <w:spacing w:after="80"/>
      </w:pPr>
      <w:r>
        <w:t xml:space="preserve">Embed chunks and measure retrieval quality by searching for sample queries.</w:t>
      </w:r>
    </w:p>
    <w:p>
      <w:pPr>
        <w:spacing w:after="80"/>
      </w:pPr>
      <w:r>
        <w:t xml:space="preserve">Semantic chunking typically performs best on varied content.</w:t>
      </w:r>
    </w:p>
    <w:p>
      <w:pPr>
        <w:pStyle w:val="Heading2"/>
        <w:spacing w:before="200" w:after="100"/>
      </w:pPr>
      <w:r>
        <w:t xml:space="preserve">Exercise 3: Basic RAG Pipeline</w:t>
      </w:r>
    </w:p>
    <w:p>
      <w:pPr>
        <w:spacing w:after="80"/>
      </w:pPr>
      <w:r>
        <w:t xml:space="preserve">Step 1: Load documents using appropriate loaders</w:t>
      </w:r>
    </w:p>
    <w:p>
      <w:pPr>
        <w:spacing w:after="80"/>
      </w:pPr>
      <w:r>
        <w:t xml:space="preserve">Step 2: Chunk with optimal strategy for your documents</w:t>
      </w:r>
    </w:p>
    <w:p>
      <w:pPr>
        <w:spacing w:after="80"/>
      </w:pPr>
      <w:r>
        <w:t xml:space="preserve">Step 3: Create embeddings using OpenAI or open-source model</w:t>
      </w:r>
    </w:p>
    <w:p>
      <w:pPr>
        <w:spacing w:after="80"/>
      </w:pPr>
      <w:r>
        <w:t xml:space="preserve">Step 4: Store in vector database (Pinecone, Weaviate, Chroma)</w:t>
      </w:r>
    </w:p>
    <w:p>
      <w:pPr>
        <w:spacing w:after="80"/>
      </w:pPr>
      <w:r>
        <w:t xml:space="preserve">Step 5: Given user query, retrieve top-k similar documents</w:t>
      </w:r>
    </w:p>
    <w:p>
      <w:pPr>
        <w:spacing w:after="80"/>
      </w:pPr>
      <w:r>
        <w:t xml:space="preserve">Step 6: Augment prompt with retrieved context</w:t>
      </w:r>
    </w:p>
    <w:p>
      <w:pPr>
        <w:spacing w:after="80"/>
      </w:pPr>
      <w:r>
        <w:t xml:space="preserve">Step 7: Generate response using Claude or GPT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2026-02-14T03:00:40.906Z</dcterms:created>
  <dcterms:modified xsi:type="dcterms:W3CDTF">2026-02-14T03:00:40.906Z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