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11 | Lab A</w:t>
      </w:r>
    </w:p>
    <w:p>
      <w:r>
        <w:rPr>
          <w:i/>
          <w:color w:val="333333"/>
          <w:sz w:val="28"/>
        </w:rPr>
        <w:t>Agentic RAG implementation</w:t>
      </w:r>
    </w:p>
    <w:p>
      <w:r>
        <w:rPr>
          <w:i/>
          <w:color w:val="333333"/>
          <w:sz w:val="22"/>
        </w:rPr>
        <w:t>Bootcamp week: Agentic RAG and Agentic Training | Session: Tuesday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Build a multi-hop agentic RAG over a 100K-document corpus with vector, BM25, and SQL backends.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Vector store provisioned, BM25 index built, SQL warehouse with structured tables.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Cluster; corpus of 100K docs pre-indexed in qdrant + OpenSearch + DuckDB (TA sheet).</w:t>
      </w:r>
    </w:p>
    <w:p>
      <w:r>
        <w:rPr>
          <w:b/>
          <w:color w:val="1E2761"/>
          <w:sz w:val="32"/>
        </w:rPr>
        <w:t>Key Concepts</w:t>
      </w:r>
    </w:p>
    <w:p>
      <w:pPr>
        <w:pStyle w:val="ListBullet"/>
      </w:pPr>
      <w:r>
        <w:rPr>
          <w:color w:val="333333"/>
          <w:sz w:val="22"/>
        </w:rPr>
        <w:t>Tool selection across vector, BM25, and SQL backends</w:t>
      </w:r>
    </w:p>
    <w:p>
      <w:pPr>
        <w:pStyle w:val="ListBullet"/>
      </w:pPr>
      <w:r>
        <w:rPr>
          <w:color w:val="333333"/>
          <w:sz w:val="22"/>
        </w:rPr>
        <w:t>Multi-hop: evidence from hop 1 shapes the hop 2 query</w:t>
      </w:r>
    </w:p>
    <w:p>
      <w:pPr>
        <w:pStyle w:val="ListBullet"/>
      </w:pPr>
      <w:r>
        <w:rPr>
          <w:color w:val="333333"/>
          <w:sz w:val="22"/>
        </w:rPr>
        <w:t>Stop conditions and evidence budgets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Build a router that selects backend per sub-query.</w:t>
      </w:r>
    </w:p>
    <w:p>
      <w:pPr>
        <w:pStyle w:val="ListNumber"/>
      </w:pPr>
      <w:r>
        <w:rPr>
          <w:color w:val="333333"/>
          <w:sz w:val="22"/>
        </w:rPr>
        <w:t>Implement query decomposition with adaptive next-step planning.</w:t>
      </w:r>
    </w:p>
    <w:p>
      <w:pPr>
        <w:pStyle w:val="ListNumber"/>
      </w:pPr>
      <w:r>
        <w:rPr>
          <w:color w:val="333333"/>
          <w:sz w:val="22"/>
        </w:rPr>
        <w:t>Add HyDE for the vector backend.</w:t>
      </w:r>
    </w:p>
    <w:p>
      <w:pPr>
        <w:pStyle w:val="ListNumber"/>
      </w:pPr>
      <w:r>
        <w:rPr>
          <w:color w:val="333333"/>
          <w:sz w:val="22"/>
        </w:rPr>
        <w:t>Evaluate on a 200-question multi-hop test set.</w:t>
      </w:r>
    </w:p>
    <w:p>
      <w:r>
        <w:rPr>
          <w:b/>
          <w:color w:val="1E2761"/>
          <w:sz w:val="32"/>
        </w:rPr>
        <w:t>Starter Code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TOOLS = {'vector': vector_search, 'bm25': keyword_search,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'sql': duckdb_query}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agentic_rag(question, max_hops=4):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evidence = []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for hop in range(max_hops):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plan = llm_plan(question, evidence)   # tool + query + why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if plan['action'] == 'answer':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break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hits = TOOLS[plan['tool']](plan['query'], k=6)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evidence += rerank(question, hits)[:3]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grounded_answer(question, evidence)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pPr>
        <w:pStyle w:val="ListBullet"/>
      </w:pPr>
      <w:r>
        <w:rPr>
          <w:color w:val="333333"/>
          <w:sz w:val="22"/>
        </w:rPr>
        <w:t>single-hop questions answer in one hop (no wasted calls)</w:t>
      </w:r>
    </w:p>
    <w:p>
      <w:pPr>
        <w:pStyle w:val="ListBullet"/>
      </w:pPr>
      <w:r>
        <w:rPr>
          <w:color w:val="333333"/>
          <w:sz w:val="22"/>
        </w:rPr>
        <w:t>the 10 seeded multi-hop questions need 2+ hops and get them right</w:t>
      </w:r>
    </w:p>
    <w:p>
      <w:pPr>
        <w:pStyle w:val="ListBullet"/>
      </w:pPr>
      <w:r>
        <w:rPr>
          <w:color w:val="333333"/>
          <w:sz w:val="22"/>
        </w:rPr>
        <w:t>numeric questions route to SQL, not vector search</w:t>
      </w:r>
    </w:p>
    <w:p>
      <w:pPr>
        <w:pStyle w:val="ListBullet"/>
      </w:pPr>
      <w:r>
        <w:rPr>
          <w:color w:val="333333"/>
          <w:sz w:val="22"/>
        </w:rPr>
        <w:t>every answer cites evidence ids; uncited claims fail the harness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End-to-end source, eval report, and per-backend hit-rate breakdown.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 by deliverables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