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Research Paper Reading Guide</w:t>
      </w:r>
    </w:p>
    <w:p>
      <w:r>
        <w:rPr>
          <w:i/>
          <w:color w:val="333333"/>
          <w:sz w:val="28"/>
        </w:rPr>
        <w:t>Enterprise AI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Reflexion shows verbal RL works without gradient updates. AutoGen establishes the engineering vocabulary for multi-agent dialogue.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Reflexion: Language Agents with Verbal Reinforcement Learning</w:t>
      </w:r>
    </w:p>
    <w:p>
      <w:r>
        <w:rPr>
          <w:color w:val="333333"/>
          <w:sz w:val="22"/>
        </w:rPr>
        <w:t>Shinn et al., 2023 (arXiv:2303.11366). Self-reflection loops as an implicit credit assignment mechanism.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AutoGen: Enabling Next-Gen LLM Applications via Multi-Agent Conversation</w:t>
      </w:r>
    </w:p>
    <w:p>
      <w:r>
        <w:rPr>
          <w:color w:val="333333"/>
          <w:sz w:val="22"/>
        </w:rPr>
        <w:t>Wu et al., 2023 (arXiv:2308.08155). Microsoft's reference framework for multi-agent dialogue.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Reflexion treats verbal feedback as implicit reward. Where does that break down?</w:t>
      </w:r>
    </w:p>
    <w:p>
      <w:pPr>
        <w:pStyle w:val="ListBullet"/>
      </w:pPr>
      <w:r>
        <w:rPr>
          <w:color w:val="333333"/>
          <w:sz w:val="22"/>
        </w:rPr>
        <w:t>AutoGen's conversation pattern is general. When would role-based be a poor fit?</w:t>
      </w:r>
    </w:p>
    <w:p>
      <w:pPr>
        <w:pStyle w:val="ListBullet"/>
      </w:pPr>
      <w:r>
        <w:rPr>
          <w:color w:val="333333"/>
          <w:sz w:val="22"/>
        </w:rPr>
        <w:t>Design a hybrid: Reflexion-style critique inside an AutoGen team. What changes?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