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Research Paper Reading Guide</w:t>
      </w:r>
    </w:p>
    <w:p>
      <w:r>
        <w:rPr>
          <w:i/>
          <w:color w:val="333333"/>
          <w:sz w:val="28"/>
        </w:rPr>
        <w:t>Agent Communications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Debate is older than A2A but the design pressure is similar. Read both with an eye to incentive structures.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AI Safety via Debate</w:t>
      </w:r>
    </w:p>
    <w:p>
      <w:r>
        <w:rPr>
          <w:color w:val="333333"/>
          <w:sz w:val="22"/>
        </w:rPr>
        <w:t>Irving et al., 2018 (arXiv:1805.00899). Foundational for debate-based protocols.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A2A Protocol Specification</w:t>
      </w:r>
    </w:p>
    <w:p>
      <w:r>
        <w:rPr>
          <w:color w:val="333333"/>
          <w:sz w:val="22"/>
        </w:rPr>
        <w:t>Reading guide ships with the lab. Active spec, not a peer-reviewed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Irving et al. assume the judge is weaker than the debaters. When is this assumption right?</w:t>
      </w:r>
    </w:p>
    <w:p>
      <w:pPr>
        <w:pStyle w:val="ListBullet"/>
      </w:pPr>
      <w:r>
        <w:rPr>
          <w:color w:val="333333"/>
          <w:sz w:val="22"/>
        </w:rPr>
        <w:t>A2A handshake patterns mirror older RPC protocols. What did they get right that A2A could borrow?</w:t>
      </w:r>
    </w:p>
    <w:p>
      <w:pPr>
        <w:pStyle w:val="ListBullet"/>
      </w:pPr>
      <w:r>
        <w:rPr>
          <w:color w:val="333333"/>
          <w:sz w:val="22"/>
        </w:rPr>
        <w:t>Sketch a discovery protocol that does not require a central registry.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