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Research Paper Reading Guide</w:t>
      </w:r>
    </w:p>
    <w:p>
      <w:r>
        <w:rPr>
          <w:i/>
          <w:color w:val="333333"/>
          <w:sz w:val="28"/>
        </w:rPr>
        <w:t>Agentic RAG and Agentic Training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HyDE is small and elegant; Self-RAG is bigger and more ambitious; Agent Lightning ties it back to training.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Precise Zero-Shot Dense Retrieval without Relevance Labels</w:t>
      </w:r>
    </w:p>
    <w:p>
      <w:r>
        <w:rPr>
          <w:color w:val="333333"/>
          <w:sz w:val="22"/>
        </w:rPr>
        <w:t>Gao et al., 2022 (arXiv:2212.10496). The HyDE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Self-RAG: Learning to Retrieve, Generate, and Critique through Self-Reflection</w:t>
      </w:r>
    </w:p>
    <w:p>
      <w:r>
        <w:rPr>
          <w:color w:val="333333"/>
          <w:sz w:val="22"/>
        </w:rPr>
        <w:t>Asai et al., 2023 (arXiv:2310.11511).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Agent Lightning</w:t>
      </w:r>
    </w:p>
    <w:p>
      <w:r>
        <w:rPr>
          <w:color w:val="333333"/>
          <w:sz w:val="22"/>
        </w:rPr>
        <w:t>Microsoft Research, 2024. Reading guide ships with the lab.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HyDE adds one LLM call per query. When is the latency hit unacceptable?</w:t>
      </w:r>
    </w:p>
    <w:p>
      <w:pPr>
        <w:pStyle w:val="ListBullet"/>
      </w:pPr>
      <w:r>
        <w:rPr>
          <w:color w:val="333333"/>
          <w:sz w:val="22"/>
        </w:rPr>
        <w:t>Self-RAG adds critique tokens to the vocabulary. What does this rule out for some deployments?</w:t>
      </w:r>
    </w:p>
    <w:p>
      <w:pPr>
        <w:pStyle w:val="ListBullet"/>
      </w:pPr>
      <w:r>
        <w:rPr>
          <w:color w:val="333333"/>
          <w:sz w:val="22"/>
        </w:rPr>
        <w:t>Agent Lightning trains on trajectories. Identify the smallest student that still benefits.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