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3 Quiz</w:t>
      </w:r>
    </w:p>
    <w:p>
      <w:r>
        <w:rPr>
          <w:i/>
          <w:color w:val="333333"/>
          <w:sz w:val="28"/>
        </w:rPr>
        <w:t>Model Context Protocol (MCP)</w:t>
      </w:r>
    </w:p>
    <w:p>
      <w:r>
        <w:rPr>
          <w:i/>
          <w:color w:val="333333"/>
          <w:sz w:val="22"/>
        </w:rPr>
        <w:t>Wednesday 8:30 to 10:00 AM PT | 30 minutes | 60 points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Instructions</w:t>
      </w:r>
    </w:p>
    <w:p>
      <w:r>
        <w:rPr>
          <w:color w:val="333333"/>
          <w:sz w:val="22"/>
        </w:rPr>
        <w:t>12 multiple-choice questions (3 points each) and 3 short-answer questions (8 points each). Closed-notes for the MCQ portion; short answers may reference the class notes.</w:t>
      </w:r>
    </w:p>
    <w:p>
      <w:r>
        <w:rPr>
          <w:b/>
          <w:color w:val="1E2761"/>
          <w:sz w:val="32"/>
        </w:rPr>
        <w:t>Part A: Multiple Choice</w:t>
      </w:r>
    </w:p>
    <w:p>
      <w:r>
        <w:rPr>
          <w:b/>
          <w:color w:val="1E2761"/>
          <w:sz w:val="26"/>
        </w:rPr>
        <w:t>Q1. MCP capability negotiation happens at:</w:t>
      </w:r>
    </w:p>
    <w:p>
      <w:pPr>
        <w:pStyle w:val="ListBullet"/>
      </w:pPr>
      <w:r>
        <w:rPr>
          <w:color w:val="333333"/>
          <w:sz w:val="22"/>
        </w:rPr>
        <w:t>A. Every tool call</w:t>
      </w:r>
    </w:p>
    <w:p>
      <w:pPr>
        <w:pStyle w:val="ListBullet"/>
      </w:pPr>
      <w:r>
        <w:rPr>
          <w:color w:val="333333"/>
          <w:sz w:val="22"/>
        </w:rPr>
        <w:t>B. Server boot only</w:t>
      </w:r>
    </w:p>
    <w:p>
      <w:pPr>
        <w:pStyle w:val="ListBullet"/>
      </w:pPr>
      <w:r>
        <w:rPr>
          <w:color w:val="333333"/>
          <w:sz w:val="22"/>
        </w:rPr>
        <w:t>C. Session startup</w:t>
      </w:r>
    </w:p>
    <w:p>
      <w:pPr>
        <w:pStyle w:val="ListBullet"/>
      </w:pPr>
      <w:r>
        <w:rPr>
          <w:color w:val="333333"/>
          <w:sz w:val="22"/>
        </w:rPr>
        <w:t>D. Never</w:t>
      </w:r>
    </w:p>
    <w:p>
      <w:r>
        <w:rPr>
          <w:b/>
          <w:color w:val="1E2761"/>
          <w:sz w:val="26"/>
        </w:rPr>
        <w:t>Q2. FastMCP generates tool schemas from:</w:t>
      </w:r>
    </w:p>
    <w:p>
      <w:pPr>
        <w:pStyle w:val="ListBullet"/>
      </w:pPr>
      <w:r>
        <w:rPr>
          <w:color w:val="333333"/>
          <w:sz w:val="22"/>
        </w:rPr>
        <w:t>A. Manual JSON files</w:t>
      </w:r>
    </w:p>
    <w:p>
      <w:pPr>
        <w:pStyle w:val="ListBullet"/>
      </w:pPr>
      <w:r>
        <w:rPr>
          <w:color w:val="333333"/>
          <w:sz w:val="22"/>
        </w:rPr>
        <w:t>B. Python type hints and docstrings</w:t>
      </w:r>
    </w:p>
    <w:p>
      <w:pPr>
        <w:pStyle w:val="ListBullet"/>
      </w:pPr>
      <w:r>
        <w:rPr>
          <w:color w:val="333333"/>
          <w:sz w:val="22"/>
        </w:rPr>
        <w:t>C. OpenAPI specs</w:t>
      </w:r>
    </w:p>
    <w:p>
      <w:pPr>
        <w:pStyle w:val="ListBullet"/>
      </w:pPr>
      <w:r>
        <w:rPr>
          <w:color w:val="333333"/>
          <w:sz w:val="22"/>
        </w:rPr>
        <w:t>D. GraphQL</w:t>
      </w:r>
    </w:p>
    <w:p>
      <w:r>
        <w:rPr>
          <w:b/>
          <w:color w:val="1E2761"/>
          <w:sz w:val="26"/>
        </w:rPr>
        <w:t>Q3. The 'tool-use maximalist' pattern fails most often when:</w:t>
      </w:r>
    </w:p>
    <w:p>
      <w:pPr>
        <w:pStyle w:val="ListBullet"/>
      </w:pPr>
      <w:r>
        <w:rPr>
          <w:color w:val="333333"/>
          <w:sz w:val="22"/>
        </w:rPr>
        <w:t>A. The model is small</w:t>
      </w:r>
    </w:p>
    <w:p>
      <w:pPr>
        <w:pStyle w:val="ListBullet"/>
      </w:pPr>
      <w:r>
        <w:rPr>
          <w:color w:val="333333"/>
          <w:sz w:val="22"/>
        </w:rPr>
        <w:t>B. The tool catalog crosses the model's selection bandwidth</w:t>
      </w:r>
    </w:p>
    <w:p>
      <w:pPr>
        <w:pStyle w:val="ListBullet"/>
      </w:pPr>
      <w:r>
        <w:rPr>
          <w:color w:val="333333"/>
          <w:sz w:val="22"/>
        </w:rPr>
        <w:t>C. Tools are async</w:t>
      </w:r>
    </w:p>
    <w:p>
      <w:pPr>
        <w:pStyle w:val="ListBullet"/>
      </w:pPr>
      <w:r>
        <w:rPr>
          <w:color w:val="333333"/>
          <w:sz w:val="22"/>
        </w:rPr>
        <w:t>D. Tools return JSON</w:t>
      </w:r>
    </w:p>
    <w:p>
      <w:r>
        <w:rPr>
          <w:b/>
          <w:color w:val="1E2761"/>
          <w:sz w:val="26"/>
        </w:rPr>
        <w:t>Q4. Which auth pattern fits user-delegated tool access?</w:t>
      </w:r>
    </w:p>
    <w:p>
      <w:pPr>
        <w:pStyle w:val="ListBullet"/>
      </w:pPr>
      <w:r>
        <w:rPr>
          <w:color w:val="333333"/>
          <w:sz w:val="22"/>
        </w:rPr>
        <w:t>A. Service accounts only</w:t>
      </w:r>
    </w:p>
    <w:p>
      <w:pPr>
        <w:pStyle w:val="ListBullet"/>
      </w:pPr>
      <w:r>
        <w:rPr>
          <w:color w:val="333333"/>
          <w:sz w:val="22"/>
        </w:rPr>
        <w:t>B. OAuth 2.1 with PKCE</w:t>
      </w:r>
    </w:p>
    <w:p>
      <w:pPr>
        <w:pStyle w:val="ListBullet"/>
      </w:pPr>
      <w:r>
        <w:rPr>
          <w:color w:val="333333"/>
          <w:sz w:val="22"/>
        </w:rPr>
        <w:t>C. Plain API key</w:t>
      </w:r>
    </w:p>
    <w:p>
      <w:pPr>
        <w:pStyle w:val="ListBullet"/>
      </w:pPr>
      <w:r>
        <w:rPr>
          <w:color w:val="333333"/>
          <w:sz w:val="22"/>
        </w:rPr>
        <w:t>D. Anonymous</w:t>
      </w:r>
    </w:p>
    <w:p>
      <w:r>
        <w:rPr>
          <w:b/>
          <w:color w:val="1E2761"/>
          <w:sz w:val="26"/>
        </w:rPr>
        <w:t>Q5. Idempotency keys are typically issued by:</w:t>
      </w:r>
    </w:p>
    <w:p>
      <w:pPr>
        <w:pStyle w:val="ListBullet"/>
      </w:pPr>
      <w:r>
        <w:rPr>
          <w:color w:val="333333"/>
          <w:sz w:val="22"/>
        </w:rPr>
        <w:t>A. The server</w:t>
      </w:r>
    </w:p>
    <w:p>
      <w:pPr>
        <w:pStyle w:val="ListBullet"/>
      </w:pPr>
      <w:r>
        <w:rPr>
          <w:color w:val="333333"/>
          <w:sz w:val="22"/>
        </w:rPr>
        <w:t>B. The client</w:t>
      </w:r>
    </w:p>
    <w:p>
      <w:pPr>
        <w:pStyle w:val="ListBullet"/>
      </w:pPr>
      <w:r>
        <w:rPr>
          <w:color w:val="333333"/>
          <w:sz w:val="22"/>
        </w:rPr>
        <w:t>C. The DNS provider</w:t>
      </w:r>
    </w:p>
    <w:p>
      <w:pPr>
        <w:pStyle w:val="ListBullet"/>
      </w:pPr>
      <w:r>
        <w:rPr>
          <w:color w:val="333333"/>
          <w:sz w:val="22"/>
        </w:rPr>
        <w:t>D. The model</w:t>
      </w:r>
    </w:p>
    <w:p>
      <w:r>
        <w:rPr>
          <w:b/>
          <w:color w:val="1E2761"/>
          <w:sz w:val="26"/>
        </w:rPr>
        <w:t>Q6. Which MCP transport is best for local subprocess tools?</w:t>
      </w:r>
    </w:p>
    <w:p>
      <w:pPr>
        <w:pStyle w:val="ListBullet"/>
      </w:pPr>
      <w:r>
        <w:rPr>
          <w:color w:val="333333"/>
          <w:sz w:val="22"/>
        </w:rPr>
        <w:t>A. WebSocket</w:t>
      </w:r>
    </w:p>
    <w:p>
      <w:pPr>
        <w:pStyle w:val="ListBullet"/>
      </w:pPr>
      <w:r>
        <w:rPr>
          <w:color w:val="333333"/>
          <w:sz w:val="22"/>
        </w:rPr>
        <w:t>B. HTTP</w:t>
      </w:r>
    </w:p>
    <w:p>
      <w:pPr>
        <w:pStyle w:val="ListBullet"/>
      </w:pPr>
      <w:r>
        <w:rPr>
          <w:color w:val="333333"/>
          <w:sz w:val="22"/>
        </w:rPr>
        <w:t>C. stdio</w:t>
      </w:r>
    </w:p>
    <w:p>
      <w:pPr>
        <w:pStyle w:val="ListBullet"/>
      </w:pPr>
      <w:r>
        <w:rPr>
          <w:color w:val="333333"/>
          <w:sz w:val="22"/>
        </w:rPr>
        <w:t>D. gRPC</w:t>
      </w:r>
    </w:p>
    <w:p>
      <w:r>
        <w:rPr>
          <w:b/>
          <w:color w:val="1E2761"/>
          <w:sz w:val="26"/>
        </w:rPr>
        <w:t>Q7. A structured error return helps the agent:</w:t>
      </w:r>
    </w:p>
    <w:p>
      <w:pPr>
        <w:pStyle w:val="ListBullet"/>
      </w:pPr>
      <w:r>
        <w:rPr>
          <w:color w:val="333333"/>
          <w:sz w:val="22"/>
        </w:rPr>
        <w:t>A. Reduce token cost</w:t>
      </w:r>
    </w:p>
    <w:p>
      <w:pPr>
        <w:pStyle w:val="ListBullet"/>
      </w:pPr>
      <w:r>
        <w:rPr>
          <w:color w:val="333333"/>
          <w:sz w:val="22"/>
        </w:rPr>
        <w:t>B. Reason about retry vs giveup</w:t>
      </w:r>
    </w:p>
    <w:p>
      <w:pPr>
        <w:pStyle w:val="ListBullet"/>
      </w:pPr>
      <w:r>
        <w:rPr>
          <w:color w:val="333333"/>
          <w:sz w:val="22"/>
        </w:rPr>
        <w:t>C. Compress context</w:t>
      </w:r>
    </w:p>
    <w:p>
      <w:pPr>
        <w:pStyle w:val="ListBullet"/>
      </w:pPr>
      <w:r>
        <w:rPr>
          <w:color w:val="333333"/>
          <w:sz w:val="22"/>
        </w:rPr>
        <w:t>D. Improve grammar</w:t>
      </w:r>
    </w:p>
    <w:p>
      <w:r>
        <w:rPr>
          <w:b/>
          <w:color w:val="1E2761"/>
          <w:sz w:val="26"/>
        </w:rPr>
        <w:t>Q8. Which is the BEST argument name for a tool that takes a date?</w:t>
      </w:r>
    </w:p>
    <w:p>
      <w:pPr>
        <w:pStyle w:val="ListBullet"/>
      </w:pPr>
      <w:r>
        <w:rPr>
          <w:color w:val="333333"/>
          <w:sz w:val="22"/>
        </w:rPr>
        <w:t>A. d</w:t>
      </w:r>
    </w:p>
    <w:p>
      <w:pPr>
        <w:pStyle w:val="ListBullet"/>
      </w:pPr>
      <w:r>
        <w:rPr>
          <w:color w:val="333333"/>
          <w:sz w:val="22"/>
        </w:rPr>
        <w:t>B. date</w:t>
      </w:r>
    </w:p>
    <w:p>
      <w:pPr>
        <w:pStyle w:val="ListBullet"/>
      </w:pPr>
      <w:r>
        <w:rPr>
          <w:color w:val="333333"/>
          <w:sz w:val="22"/>
        </w:rPr>
        <w:t>C. start_date_iso8601</w:t>
      </w:r>
    </w:p>
    <w:p>
      <w:pPr>
        <w:pStyle w:val="ListBullet"/>
      </w:pPr>
      <w:r>
        <w:rPr>
          <w:color w:val="333333"/>
          <w:sz w:val="22"/>
        </w:rPr>
        <w:t>D. DATE</w:t>
      </w:r>
    </w:p>
    <w:p>
      <w:r>
        <w:rPr>
          <w:b/>
          <w:color w:val="1E2761"/>
          <w:sz w:val="26"/>
        </w:rPr>
        <w:t>Q9. MCP resources differ from tools because they:</w:t>
      </w:r>
    </w:p>
    <w:p>
      <w:pPr>
        <w:pStyle w:val="ListBullet"/>
      </w:pPr>
      <w:r>
        <w:rPr>
          <w:color w:val="333333"/>
          <w:sz w:val="22"/>
        </w:rPr>
        <w:t>A. Run on GPU</w:t>
      </w:r>
    </w:p>
    <w:p>
      <w:pPr>
        <w:pStyle w:val="ListBullet"/>
      </w:pPr>
      <w:r>
        <w:rPr>
          <w:color w:val="333333"/>
          <w:sz w:val="22"/>
        </w:rPr>
        <w:t>B. Are read-only data sources</w:t>
      </w:r>
    </w:p>
    <w:p>
      <w:pPr>
        <w:pStyle w:val="ListBullet"/>
      </w:pPr>
      <w:r>
        <w:rPr>
          <w:color w:val="333333"/>
          <w:sz w:val="22"/>
        </w:rPr>
        <w:t>C. Cost money</w:t>
      </w:r>
    </w:p>
    <w:p>
      <w:pPr>
        <w:pStyle w:val="ListBullet"/>
      </w:pPr>
      <w:r>
        <w:rPr>
          <w:color w:val="333333"/>
          <w:sz w:val="22"/>
        </w:rPr>
        <w:t>D. Cannot be cached</w:t>
      </w:r>
    </w:p>
    <w:p>
      <w:r>
        <w:rPr>
          <w:b/>
          <w:color w:val="1E2761"/>
          <w:sz w:val="26"/>
        </w:rPr>
        <w:t>Q10. Per-tool scopes are preferred over per-server scopes because:</w:t>
      </w:r>
    </w:p>
    <w:p>
      <w:pPr>
        <w:pStyle w:val="ListBullet"/>
      </w:pPr>
      <w:r>
        <w:rPr>
          <w:color w:val="333333"/>
          <w:sz w:val="22"/>
        </w:rPr>
        <w:t>A. They are easier to write</w:t>
      </w:r>
    </w:p>
    <w:p>
      <w:pPr>
        <w:pStyle w:val="ListBullet"/>
      </w:pPr>
      <w:r>
        <w:rPr>
          <w:color w:val="333333"/>
          <w:sz w:val="22"/>
        </w:rPr>
        <w:t>B. They limit blast radius of a leaked token</w:t>
      </w:r>
    </w:p>
    <w:p>
      <w:pPr>
        <w:pStyle w:val="ListBullet"/>
      </w:pPr>
      <w:r>
        <w:rPr>
          <w:color w:val="333333"/>
          <w:sz w:val="22"/>
        </w:rPr>
        <w:t>C. Servers do not exist</w:t>
      </w:r>
    </w:p>
    <w:p>
      <w:pPr>
        <w:pStyle w:val="ListBullet"/>
      </w:pPr>
      <w:r>
        <w:rPr>
          <w:color w:val="333333"/>
          <w:sz w:val="22"/>
        </w:rPr>
        <w:t>D. OAuth requires them</w:t>
      </w:r>
    </w:p>
    <w:p>
      <w:r>
        <w:rPr>
          <w:b/>
          <w:color w:val="1E2761"/>
          <w:sz w:val="26"/>
        </w:rPr>
        <w:t>Q11. Which is a common mistake in tool docstrings?</w:t>
      </w:r>
    </w:p>
    <w:p>
      <w:pPr>
        <w:pStyle w:val="ListBullet"/>
      </w:pPr>
      <w:r>
        <w:rPr>
          <w:color w:val="333333"/>
          <w:sz w:val="22"/>
        </w:rPr>
        <w:t>A. Being too long</w:t>
      </w:r>
    </w:p>
    <w:p>
      <w:pPr>
        <w:pStyle w:val="ListBullet"/>
      </w:pPr>
      <w:r>
        <w:rPr>
          <w:color w:val="333333"/>
          <w:sz w:val="22"/>
        </w:rPr>
        <w:t>B. Being too short and ambiguous</w:t>
      </w:r>
    </w:p>
    <w:p>
      <w:pPr>
        <w:pStyle w:val="ListBullet"/>
      </w:pPr>
      <w:r>
        <w:rPr>
          <w:color w:val="333333"/>
          <w:sz w:val="22"/>
        </w:rPr>
        <w:t>C. Using complete sentences</w:t>
      </w:r>
    </w:p>
    <w:p>
      <w:pPr>
        <w:pStyle w:val="ListBullet"/>
      </w:pPr>
      <w:r>
        <w:rPr>
          <w:color w:val="333333"/>
          <w:sz w:val="22"/>
        </w:rPr>
        <w:t>D. Including examples</w:t>
      </w:r>
    </w:p>
    <w:p>
      <w:r>
        <w:rPr>
          <w:b/>
          <w:color w:val="1E2761"/>
          <w:sz w:val="26"/>
        </w:rPr>
        <w:t>Q12. OAuth 2.1 PKCE protects against:</w:t>
      </w:r>
    </w:p>
    <w:p>
      <w:pPr>
        <w:pStyle w:val="ListBullet"/>
      </w:pPr>
      <w:r>
        <w:rPr>
          <w:color w:val="333333"/>
          <w:sz w:val="22"/>
        </w:rPr>
        <w:t>A. Server outages</w:t>
      </w:r>
    </w:p>
    <w:p>
      <w:pPr>
        <w:pStyle w:val="ListBullet"/>
      </w:pPr>
      <w:r>
        <w:rPr>
          <w:color w:val="333333"/>
          <w:sz w:val="22"/>
        </w:rPr>
        <w:t>B. Authorization code interception</w:t>
      </w:r>
    </w:p>
    <w:p>
      <w:pPr>
        <w:pStyle w:val="ListBullet"/>
      </w:pPr>
      <w:r>
        <w:rPr>
          <w:color w:val="333333"/>
          <w:sz w:val="22"/>
        </w:rPr>
        <w:t>C. Token theft via XSS</w:t>
      </w:r>
    </w:p>
    <w:p>
      <w:pPr>
        <w:pStyle w:val="ListBullet"/>
      </w:pPr>
      <w:r>
        <w:rPr>
          <w:color w:val="333333"/>
          <w:sz w:val="22"/>
        </w:rPr>
        <w:t>D. Replay attacks</w:t>
      </w:r>
    </w:p>
    <w:p>
      <w:r>
        <w:rPr>
          <w:b/>
          <w:color w:val="1E2761"/>
          <w:sz w:val="32"/>
        </w:rPr>
        <w:t>Part B: Short Answer</w:t>
      </w:r>
    </w:p>
    <w:p>
      <w:r>
        <w:rPr>
          <w:b/>
          <w:color w:val="1E2761"/>
          <w:sz w:val="26"/>
        </w:rPr>
        <w:t>S1. Write a FastMCP tool function with strong type hints and a clear docstring for a calendar lookup.</w:t>
      </w:r>
    </w:p>
    <w:p>
      <w:r>
        <w:rPr>
          <w:color w:val="333333"/>
          <w:sz w:val="22"/>
        </w:rPr>
        <w:t>(Write 3 to 6 sentences in the space below.)</w:t>
      </w:r>
    </w:p>
    <w:p>
      <w:r>
        <w:rPr>
          <w:b/>
          <w:color w:val="1E2761"/>
          <w:sz w:val="26"/>
        </w:rPr>
        <w:t>S2. Compare stdio versus HTTP MCP transports on latency, security, and operational complexity.</w:t>
      </w:r>
    </w:p>
    <w:p>
      <w:r>
        <w:rPr>
          <w:color w:val="333333"/>
          <w:sz w:val="22"/>
        </w:rPr>
        <w:t>(Write 3 to 6 sentences in the space below.)</w:t>
      </w:r>
    </w:p>
    <w:p>
      <w:r>
        <w:rPr>
          <w:b/>
          <w:color w:val="1E2761"/>
          <w:sz w:val="26"/>
        </w:rPr>
        <w:t>S3. Design an idempotency strategy for a 'send_email' tool exposed via MCP.</w:t>
      </w:r>
    </w:p>
    <w:p>
      <w:r>
        <w:rPr>
          <w:color w:val="333333"/>
          <w:sz w:val="22"/>
        </w:rPr>
        <w:t>(Write 3 to 6 sentences in the space below.)</w:t>
      </w:r>
    </w:p>
    <w:p>
      <w:pPr>
        <w:pBdr>
          <w:bottom w:val="single" w:sz="6" w:space="1" w:color="1E2761"/>
        </w:pBdr>
      </w:pPr>
    </w:p>
    <w:p>
      <w:r>
        <w:rPr>
          <w:color w:val="333333"/>
          <w:sz w:val="18"/>
        </w:rPr>
        <w:t>© 2026 Proxiant Academy | info@proxiant.com | https://proxiant.ai/training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