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Quiz</w:t>
      </w:r>
    </w:p>
    <w:p>
      <w:r>
        <w:rPr>
          <w:i/>
          <w:color w:val="333333"/>
          <w:sz w:val="28"/>
        </w:rPr>
        <w:t>Fine-Tuning Foundations and Economy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Chinchilla scaling suggests roughly how many training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b/>
          <w:color w:val="1E2761"/>
          <w:sz w:val="26"/>
        </w:rPr>
        <w:t>Q2. LoRA trains:</w:t>
      </w:r>
    </w:p>
    <w:p>
      <w:pPr>
        <w:pStyle w:val="ListBullet"/>
      </w:pPr>
      <w:r>
        <w:rPr>
          <w:color w:val="333333"/>
          <w:sz w:val="22"/>
        </w:rPr>
        <w:t>A. The full base model</w:t>
      </w:r>
    </w:p>
    <w:p>
      <w:pPr>
        <w:pStyle w:val="ListBullet"/>
      </w:pPr>
      <w:r>
        <w:rPr>
          <w:color w:val="333333"/>
          <w:sz w:val="22"/>
        </w:rPr>
        <w:t>B. Only the low-rank A and B matrices</w:t>
      </w:r>
    </w:p>
    <w:p>
      <w:pPr>
        <w:pStyle w:val="ListBullet"/>
      </w:pPr>
      <w:r>
        <w:rPr>
          <w:color w:val="333333"/>
          <w:sz w:val="22"/>
        </w:rPr>
        <w:t>C. Only embeddings</w:t>
      </w:r>
    </w:p>
    <w:p>
      <w:pPr>
        <w:pStyle w:val="ListBullet"/>
      </w:pPr>
      <w:r>
        <w:rPr>
          <w:color w:val="333333"/>
          <w:sz w:val="22"/>
        </w:rPr>
        <w:t>D. Only attention weights</w:t>
      </w:r>
    </w:p>
    <w:p>
      <w:r>
        <w:rPr>
          <w:b/>
          <w:color w:val="1E2761"/>
          <w:sz w:val="26"/>
        </w:rPr>
        <w:t>Q3. Typical LoRA rank values in practice:</w:t>
      </w:r>
    </w:p>
    <w:p>
      <w:pPr>
        <w:pStyle w:val="ListBullet"/>
      </w:pPr>
      <w:r>
        <w:rPr>
          <w:color w:val="333333"/>
          <w:sz w:val="22"/>
        </w:rPr>
        <w:t>A. 1 to 2</w:t>
      </w:r>
    </w:p>
    <w:p>
      <w:pPr>
        <w:pStyle w:val="ListBullet"/>
      </w:pPr>
      <w:r>
        <w:rPr>
          <w:color w:val="333333"/>
          <w:sz w:val="22"/>
        </w:rPr>
        <w:t>B. 4 to 64</w:t>
      </w:r>
    </w:p>
    <w:p>
      <w:pPr>
        <w:pStyle w:val="ListBullet"/>
      </w:pPr>
      <w:r>
        <w:rPr>
          <w:color w:val="333333"/>
          <w:sz w:val="22"/>
        </w:rPr>
        <w:t>C. 256 to 1024</w:t>
      </w:r>
    </w:p>
    <w:p>
      <w:pPr>
        <w:pStyle w:val="ListBullet"/>
      </w:pPr>
      <w:r>
        <w:rPr>
          <w:color w:val="333333"/>
          <w:sz w:val="22"/>
        </w:rPr>
        <w:t>D. 4096+</w:t>
      </w:r>
    </w:p>
    <w:p>
      <w:r>
        <w:rPr>
          <w:b/>
          <w:color w:val="1E2761"/>
          <w:sz w:val="26"/>
        </w:rPr>
        <w:t>Q4. qLoRA quantizes the base model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 binary</w:t>
      </w:r>
    </w:p>
    <w:p>
      <w:r>
        <w:rPr>
          <w:b/>
          <w:color w:val="1E2761"/>
          <w:sz w:val="26"/>
        </w:rPr>
        <w:t>Q5. InfoNCE loss requires:</w:t>
      </w:r>
    </w:p>
    <w:p>
      <w:pPr>
        <w:pStyle w:val="ListBullet"/>
      </w:pPr>
      <w:r>
        <w:rPr>
          <w:color w:val="333333"/>
          <w:sz w:val="22"/>
        </w:rPr>
        <w:t>A. Only positives</w:t>
      </w:r>
    </w:p>
    <w:p>
      <w:pPr>
        <w:pStyle w:val="ListBullet"/>
      </w:pPr>
      <w:r>
        <w:rPr>
          <w:color w:val="333333"/>
          <w:sz w:val="22"/>
        </w:rPr>
        <w:t>B. Anchor, positive, batch of negatives</w:t>
      </w:r>
    </w:p>
    <w:p>
      <w:pPr>
        <w:pStyle w:val="ListBullet"/>
      </w:pPr>
      <w:r>
        <w:rPr>
          <w:color w:val="333333"/>
          <w:sz w:val="22"/>
        </w:rPr>
        <w:t>C. Triplets with margin</w:t>
      </w:r>
    </w:p>
    <w:p>
      <w:pPr>
        <w:pStyle w:val="ListBullet"/>
      </w:pPr>
      <w:r>
        <w:rPr>
          <w:color w:val="333333"/>
          <w:sz w:val="22"/>
        </w:rPr>
        <w:t>D. Cluster assignments</w:t>
      </w:r>
    </w:p>
    <w:p>
      <w:r>
        <w:rPr>
          <w:b/>
          <w:color w:val="1E2761"/>
          <w:sz w:val="26"/>
        </w:rPr>
        <w:t>Q6. Soft prompting trains:</w:t>
      </w:r>
    </w:p>
    <w:p>
      <w:pPr>
        <w:pStyle w:val="ListBullet"/>
      </w:pPr>
      <w:r>
        <w:rPr>
          <w:color w:val="333333"/>
          <w:sz w:val="22"/>
        </w:rPr>
        <w:t>A. Full layers</w:t>
      </w:r>
    </w:p>
    <w:p>
      <w:pPr>
        <w:pStyle w:val="ListBullet"/>
      </w:pPr>
      <w:r>
        <w:rPr>
          <w:color w:val="333333"/>
          <w:sz w:val="22"/>
        </w:rPr>
        <w:t>B. A small trainable embedding prefix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Quantization codebook</w:t>
      </w:r>
    </w:p>
    <w:p>
      <w:r>
        <w:rPr>
          <w:b/>
          <w:color w:val="1E2761"/>
          <w:sz w:val="26"/>
        </w:rPr>
        <w:t>Q7. Steering vectors are applied:</w:t>
      </w:r>
    </w:p>
    <w:p>
      <w:pPr>
        <w:pStyle w:val="ListBullet"/>
      </w:pPr>
      <w:r>
        <w:rPr>
          <w:color w:val="333333"/>
          <w:sz w:val="22"/>
        </w:rPr>
        <w:t>A. During training only</w:t>
      </w:r>
    </w:p>
    <w:p>
      <w:pPr>
        <w:pStyle w:val="ListBullet"/>
      </w:pPr>
      <w:r>
        <w:rPr>
          <w:color w:val="333333"/>
          <w:sz w:val="22"/>
        </w:rPr>
        <w:t>B. At inference time as activation edits</w:t>
      </w:r>
    </w:p>
    <w:p>
      <w:pPr>
        <w:pStyle w:val="ListBullet"/>
      </w:pPr>
      <w:r>
        <w:rPr>
          <w:color w:val="333333"/>
          <w:sz w:val="22"/>
        </w:rPr>
        <w:t>C. To the tokenizer</w:t>
      </w:r>
    </w:p>
    <w:p>
      <w:pPr>
        <w:pStyle w:val="ListBullet"/>
      </w:pPr>
      <w:r>
        <w:rPr>
          <w:color w:val="333333"/>
          <w:sz w:val="22"/>
        </w:rPr>
        <w:t>D. To the dataset</w:t>
      </w:r>
    </w:p>
    <w:p>
      <w:r>
        <w:rPr>
          <w:b/>
          <w:color w:val="1E2761"/>
          <w:sz w:val="26"/>
        </w:rPr>
        <w:t>Q8. Which is a typical LoRA target module set for transformer LLMs?</w:t>
      </w:r>
    </w:p>
    <w:p>
      <w:pPr>
        <w:pStyle w:val="ListBullet"/>
      </w:pPr>
      <w:r>
        <w:rPr>
          <w:color w:val="333333"/>
          <w:sz w:val="22"/>
        </w:rPr>
        <w:t>A. Embedding only</w:t>
      </w:r>
    </w:p>
    <w:p>
      <w:pPr>
        <w:pStyle w:val="ListBullet"/>
      </w:pPr>
      <w:r>
        <w:rPr>
          <w:color w:val="333333"/>
          <w:sz w:val="22"/>
        </w:rPr>
        <w:t>B. MLP only</w:t>
      </w:r>
    </w:p>
    <w:p>
      <w:pPr>
        <w:pStyle w:val="ListBullet"/>
      </w:pPr>
      <w:r>
        <w:rPr>
          <w:color w:val="333333"/>
          <w:sz w:val="22"/>
        </w:rPr>
        <w:t>C. Q, V, O projections</w:t>
      </w:r>
    </w:p>
    <w:p>
      <w:pPr>
        <w:pStyle w:val="ListBullet"/>
      </w:pPr>
      <w:r>
        <w:rPr>
          <w:color w:val="333333"/>
          <w:sz w:val="22"/>
        </w:rPr>
        <w:t>D. All layer norms</w:t>
      </w:r>
    </w:p>
    <w:p>
      <w:r>
        <w:rPr>
          <w:b/>
          <w:color w:val="1E2761"/>
          <w:sz w:val="26"/>
        </w:rPr>
        <w:t>Q9. Higher LoRA rank helps most when:</w:t>
      </w:r>
    </w:p>
    <w:p>
      <w:pPr>
        <w:pStyle w:val="ListBullet"/>
      </w:pPr>
      <w:r>
        <w:rPr>
          <w:color w:val="333333"/>
          <w:sz w:val="22"/>
        </w:rPr>
        <w:t>A. Only style changes</w:t>
      </w:r>
    </w:p>
    <w:p>
      <w:pPr>
        <w:pStyle w:val="ListBullet"/>
      </w:pPr>
      <w:r>
        <w:rPr>
          <w:color w:val="333333"/>
          <w:sz w:val="22"/>
        </w:rPr>
        <w:t>B. Domain semantics change</w:t>
      </w:r>
    </w:p>
    <w:p>
      <w:pPr>
        <w:pStyle w:val="ListBullet"/>
      </w:pPr>
      <w:r>
        <w:rPr>
          <w:color w:val="333333"/>
          <w:sz w:val="22"/>
        </w:rPr>
        <w:t>C. Tokenizer is unchanged</w:t>
      </w:r>
    </w:p>
    <w:p>
      <w:pPr>
        <w:pStyle w:val="ListBullet"/>
      </w:pPr>
      <w:r>
        <w:rPr>
          <w:color w:val="333333"/>
          <w:sz w:val="22"/>
        </w:rPr>
        <w:t>D. Dataset is small</w:t>
      </w:r>
    </w:p>
    <w:p>
      <w:r>
        <w:rPr>
          <w:b/>
          <w:color w:val="1E2761"/>
          <w:sz w:val="26"/>
        </w:rPr>
        <w:t>Q10. Triplet loss is sensitive primarily to:</w:t>
      </w:r>
    </w:p>
    <w:p>
      <w:pPr>
        <w:pStyle w:val="ListBullet"/>
      </w:pPr>
      <w:r>
        <w:rPr>
          <w:color w:val="333333"/>
          <w:sz w:val="22"/>
        </w:rPr>
        <w:t>A. Batch size</w:t>
      </w:r>
    </w:p>
    <w:p>
      <w:pPr>
        <w:pStyle w:val="ListBullet"/>
      </w:pPr>
      <w:r>
        <w:rPr>
          <w:color w:val="333333"/>
          <w:sz w:val="22"/>
        </w:rPr>
        <w:t>B. Triplet mining strategy</w:t>
      </w:r>
    </w:p>
    <w:p>
      <w:pPr>
        <w:pStyle w:val="ListBullet"/>
      </w:pPr>
      <w:r>
        <w:rPr>
          <w:color w:val="333333"/>
          <w:sz w:val="22"/>
        </w:rPr>
        <w:t>C. Optimizer choice</w:t>
      </w:r>
    </w:p>
    <w:p>
      <w:pPr>
        <w:pStyle w:val="ListBullet"/>
      </w:pPr>
      <w:r>
        <w:rPr>
          <w:color w:val="333333"/>
          <w:sz w:val="22"/>
        </w:rPr>
        <w:t>D. Model size</w:t>
      </w:r>
    </w:p>
    <w:p>
      <w:r>
        <w:rPr>
          <w:b/>
          <w:color w:val="1E2761"/>
          <w:sz w:val="26"/>
        </w:rPr>
        <w:t>Q11. SimCLR positives are typically generated from:</w:t>
      </w:r>
    </w:p>
    <w:p>
      <w:pPr>
        <w:pStyle w:val="ListBullet"/>
      </w:pPr>
      <w:r>
        <w:rPr>
          <w:color w:val="333333"/>
          <w:sz w:val="22"/>
        </w:rPr>
        <w:t>A. Manual labeling</w:t>
      </w:r>
    </w:p>
    <w:p>
      <w:pPr>
        <w:pStyle w:val="ListBullet"/>
      </w:pPr>
      <w:r>
        <w:rPr>
          <w:color w:val="333333"/>
          <w:sz w:val="22"/>
        </w:rPr>
        <w:t>B. Augmentations of the same example</w:t>
      </w:r>
    </w:p>
    <w:p>
      <w:pPr>
        <w:pStyle w:val="ListBullet"/>
      </w:pPr>
      <w:r>
        <w:rPr>
          <w:color w:val="333333"/>
          <w:sz w:val="22"/>
        </w:rPr>
        <w:t>C. Class clusters</w:t>
      </w:r>
    </w:p>
    <w:p>
      <w:pPr>
        <w:pStyle w:val="ListBullet"/>
      </w:pPr>
      <w:r>
        <w:rPr>
          <w:color w:val="333333"/>
          <w:sz w:val="22"/>
        </w:rPr>
        <w:t>D. Reward models</w:t>
      </w:r>
    </w:p>
    <w:p>
      <w:r>
        <w:rPr>
          <w:b/>
          <w:color w:val="1E2761"/>
          <w:sz w:val="26"/>
        </w:rPr>
        <w:t>Q12. qLoRA accuracy on long-context tasks tends to:</w:t>
      </w:r>
    </w:p>
    <w:p>
      <w:pPr>
        <w:pStyle w:val="ListBullet"/>
      </w:pPr>
      <w:r>
        <w:rPr>
          <w:color w:val="333333"/>
          <w:sz w:val="22"/>
        </w:rPr>
        <w:t>A. Improve substantially</w:t>
      </w:r>
    </w:p>
    <w:p>
      <w:pPr>
        <w:pStyle w:val="ListBullet"/>
      </w:pPr>
      <w:r>
        <w:rPr>
          <w:color w:val="333333"/>
          <w:sz w:val="22"/>
        </w:rPr>
        <w:t>B. Remain identical</w:t>
      </w:r>
    </w:p>
    <w:p>
      <w:pPr>
        <w:pStyle w:val="ListBullet"/>
      </w:pPr>
      <w:r>
        <w:rPr>
          <w:color w:val="333333"/>
          <w:sz w:val="22"/>
        </w:rPr>
        <w:t>C. Degrade more than expected</w:t>
      </w:r>
    </w:p>
    <w:p>
      <w:pPr>
        <w:pStyle w:val="ListBullet"/>
      </w:pPr>
      <w:r>
        <w:rPr>
          <w:color w:val="333333"/>
          <w:sz w:val="22"/>
        </w:rPr>
        <w:t>D. Match 8-bit exactly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Given a 1B parameter budget and 20B tokens, justify Chinchilla compliance or deviation.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Choose LoRA rank, alpha, and target modules for a domain-adaptation task on a 7B model.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Sketch a hard-negative mining strategy for InfoNCE training on a code search corpus.</w:t>
      </w:r>
    </w:p>
    <w:p>
      <w:r>
        <w:rPr>
          <w:color w:val="333333"/>
          <w:sz w:val="22"/>
        </w:rPr>
        <w:t>(Write 3 to 6 sentences in the space below.)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