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5 Assignment</w:t>
      </w:r>
    </w:p>
    <w:p>
      <w:pPr>
        <w:spacing w:after="240"/>
        <w:jc w:val="center"/>
      </w:pPr>
      <w:r>
        <w:t xml:space="preserve">NLP &amp; Compliance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>Due: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>end of the corresponding course week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This assignment applies natural language processing and retrieval-augmented generation to financial compliance, focusing on regulatory text analysis, document automation, and risk management.</w:t>
      </w:r>
    </w:p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custom NER systems for regulatory 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RAG pipelines for compliance assistance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enhanced AML monitoring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 document similarity methods</w:t>
      </w:r>
    </w:p>
    <w:p/>
    <w:p>
      <w:pPr>
        <w:spacing w:before="240" w:after="120"/>
      </w:pPr>
      <w:r>
        <w:t xml:space="preserve">Question 1: Regulatory NER System (30 points)</w:t>
      </w:r>
    </w:p>
    <w:p>
      <w:pPr>
        <w:spacing w:line="360" w:lineRule="auto" w:after="120"/>
      </w:pPr>
      <w:r>
        <w:t xml:space="preserve">Build a named entity recognition system for regulatory text using SpaCy with custom entity types relevant to financial compliance.</w:t>
      </w:r>
    </w:p>
    <w:p>
      <w:pPr>
        <w:spacing w:before="100" w:after="100"/>
      </w:pPr>
      <w:r>
        <w:t xml:space="preserve">Custom Entity Types: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REGULATION: References to laws and regulations (e.g., "Basel III", "Dodd-Frank")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OBLIGATION: Required actions (e.g., "must report", "shall maintain")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DEADLINE: Time constraints (e.g., "within 30 days", "quarterly")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MONETARY_VALUE: Financial thresholds (e.g., "$250,000", "€1 million")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ORGANIZATION: Regulatory bodies and institutions</w:t>
      </w:r>
    </w:p>
    <w:p>
      <w:pPr>
        <w:spacing w:before="100" w:after="100"/>
      </w:pPr>
      <w:r>
        <w:t xml:space="preserve">Implementation: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Train on provided annotation samples using SpaCy's training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 precision, recall, F1 for each entity type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on compliance documents to demonstrate real-world applicability</w:t>
      </w:r>
    </w:p>
    <w:p/>
    <w:p>
      <w:pPr>
        <w:spacing w:before="240" w:after="120"/>
      </w:pPr>
      <w:r>
        <w:t xml:space="preserve">Question 2: Compliance RAG System (25 points)</w:t>
      </w:r>
    </w:p>
    <w:p>
      <w:pPr>
        <w:spacing w:line="360" w:lineRule="auto" w:after="120"/>
      </w:pPr>
      <w:r>
        <w:t xml:space="preserve">Implement a Retrieval-Augmented Generation pipeline for compliance Q&amp;A enabling instant answers to regulatory questions.</w:t>
      </w:r>
    </w:p>
    <w:p>
      <w:pPr>
        <w:spacing w:before="100" w:after="100"/>
      </w:pPr>
      <w:r>
        <w:t xml:space="preserve">System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Embedding Model: Use sentence-transformers to embed regulatory documents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Vector Store: FAISS for efficient similarity search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Retrieval: Query expansion, top-k document retrieval with relevance scoring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Context Formatting: Prepare retrieved context for LLM consumption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Evaluation: Precision@k, NDCG, and answer relevance</w:t>
      </w:r>
    </w:p>
    <w:p/>
    <w:p>
      <w:pPr>
        <w:spacing w:before="240" w:after="120"/>
      </w:pPr>
      <w:r>
        <w:t xml:space="preserve">Question 3: AML Monitoring Enhancement (25 points)</w:t>
      </w:r>
    </w:p>
    <w:p>
      <w:pPr>
        <w:spacing w:line="360" w:lineRule="auto" w:after="120"/>
      </w:pPr>
      <w:r>
        <w:t xml:space="preserve">Design comprehensive plan to improve AML (Anti-Money Laundering) monitoring that currently suffers from 95% false positive rate.</w:t>
      </w:r>
    </w:p>
    <w:p>
      <w:pPr>
        <w:spacing w:before="100" w:after="100"/>
      </w:pPr>
      <w:r>
        <w:t xml:space="preserve">Plan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Current State Analysis: Quantify impact of 95% false positive rate on operations and compliance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ML Model Selection: Justify choice among anomaly detection, supervised learning, graph-based approaches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Engineering: Design behavioral features, network features, temporal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Threshold Optimization: Cost-sensitive threshold selection for FP/FN trade-off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Improvements: Quantify expected reduction in false positives, increase in true positive 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Regulatory Roadmap: Timeline for regulatory approval and deployment</w:t>
      </w:r>
    </w:p>
    <w:p/>
    <w:p>
      <w:pPr>
        <w:spacing w:before="240" w:after="120"/>
      </w:pPr>
      <w:r>
        <w:t xml:space="preserve">Question 4: Document Similarity System (20 points)</w:t>
      </w:r>
    </w:p>
    <w:p>
      <w:pPr>
        <w:spacing w:line="360" w:lineRule="auto" w:after="120"/>
      </w:pPr>
      <w:r>
        <w:t xml:space="preserve">Build document similarity system for regulatory texts comparing multiple similarity approaches.</w:t>
      </w:r>
    </w:p>
    <w:p>
      <w:pPr>
        <w:spacing w:before="100" w:after="100"/>
      </w:pPr>
      <w:r>
        <w:t xml:space="preserve">Methods to Implement: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TF-IDF: Traditional sparse vector approach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Sentence Embeddings: Dense vectors using pre-trained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BM25: Ranking-oriented retrieval method</w:t>
      </w:r>
    </w:p>
    <w:p>
      <w:pPr>
        <w:spacing w:before="100" w:after="100"/>
      </w:pPr>
      <w:r>
        <w:t xml:space="preserve">Evaluation Metrics: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Precision@k: What fraction of top-k results are relevant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NDCG: Normalized Discounted Cumulative Gain ranking quality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Execution Time: Compare computational efficiency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2026-02-14T05:03:46.338Z</dcterms:created>
  <dcterms:modified xsi:type="dcterms:W3CDTF">2026-02-14T05:03:46.338Z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