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480"/>
      </w:pPr>
    </w:p>
    <w:p>
      <w:pPr>
        <w:spacing w:after="240"/>
        <w:jc w:val="center"/>
        <w:rPr>
          <w:b/>
          <w:bCs/>
          <w:color w:val="1E2761"/>
          <w:sz w:val="32"/>
          <w:szCs w:val="32"/>
        </w:rPr>
      </w:pPr>
      <w:r>
        <w:t xml:space="preserve">Class 3</w:t>
      </w:r>
    </w:p>
    <w:p>
      <w:pPr>
        <w:spacing w:after="120"/>
        <w:jc w:val="center"/>
        <w:rPr>
          <w:b/>
          <w:bCs/>
          <w:color w:val="1E2761"/>
          <w:sz w:val="28"/>
          <w:szCs w:val="28"/>
        </w:rPr>
      </w:pPr>
      <w:r>
        <w:t xml:space="preserve">Credit Risk Modeling with Machine Learning</w:t>
      </w:r>
    </w:p>
    <w:p>
      <w:pPr>
        <w:spacing w:after="60"/>
        <w:jc w:val="center"/>
        <w:rPr>
          <w:color w:val="333333"/>
          <w:sz w:val="20"/>
          <w:szCs w:val="20"/>
        </w:rPr>
      </w:pPr>
      <w:r>
        <w:t xml:space="preserve">Week 3</w:t>
      </w:r>
    </w:p>
    <w:p>
      <w:pPr>
        <w:spacing w:after="480"/>
        <w:jc w:val="center"/>
        <w:rPr>
          <w:color w:val="333333"/>
          <w:sz w:val="18"/>
          <w:szCs w:val="18"/>
        </w:rPr>
      </w:pPr>
      <w:r>
        <w:t xml:space="preserve">Date: February 28, 2026</w:t>
      </w:r>
    </w:p>
    <w:p>
      <w:pPr>
        <w:spacing w:after="480"/>
        <w:jc w:val="center"/>
        <w:rPr>
          <w:color w:val="333333"/>
          <w:sz w:val="16"/>
          <w:szCs w:val="16"/>
        </w:rPr>
      </w:pPr>
      <w:r>
        <w:t>AI for Finance: Advanced Course</w:t>
      </w:r>
    </w:p>
    <w:p>
      <w:pPr>
        <w:spacing w:after="480"/>
      </w:pPr>
    </w:p>
    <w:p>
      <w:pPr>
        <w:spacing w:after="240"/>
        <w:jc w:val="center"/>
        <w:rPr>
          <w:color w:val="1E2761"/>
        </w:rPr>
      </w:pPr>
      <w:r>
        <w:t>-------------------------------------------</w:t>
      </w:r>
    </w:p>
    <w:p>
      <w:pPr>
        <w:spacing w:after="480"/>
        <w:jc w:val="center"/>
        <w:rPr>
          <w:color w:val="333333"/>
          <w:sz w:val="16"/>
          <w:szCs w:val="16"/>
        </w:rPr>
      </w:pPr>
      <w:r>
        <w:t xml:space="preserve">Comprehensive Technical Notes for Finance Professionals</w:t>
      </w:r>
    </w:p>
    <w:r>
      <w:br w:type="page"/>
    </w:r>
    <w:p>
      <w:pPr>
        <w:pStyle w:val="Heading1"/>
        <w:spacing w:line="360" w:before="240" w:after="12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Build Probability of Default (PD) models using tree-based algorithms and neural networks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Implement SHAP-based model interpretability for regulatory compliance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Validate models against Basel III discriminatory power and calibration requirements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Compare XGBoost, LightGBM, and CatBoost for credit scoring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Design Loss Given Default (LGD) and Exposure at Default (EAD) prediction models</w:t>
      </w:r>
    </w:p>
    <w:p>
      <w:pPr>
        <w:spacing w:after="120"/>
      </w:pPr>
    </w:p>
    <w:p>
      <w:pPr>
        <w:pStyle w:val="Heading1"/>
        <w:spacing w:line="360" w:before="240" w:after="120"/>
      </w:pPr>
      <w:r>
        <w:t xml:space="preserve">1. Traditional Credit Risk Models</w:t>
      </w:r>
    </w:p>
    <w:p>
      <w:pPr>
        <w:pStyle w:val="Heading2"/>
        <w:spacing w:line="360" w:before="200" w:after="100"/>
      </w:pPr>
      <w:r>
        <w:t xml:space="preserve">1.1 Logistic Regression Scorecard</w:t>
      </w:r>
    </w:p>
    <w:p>
      <w:pPr>
        <w:spacing w:line="360" w:after="120"/>
        <w:jc w:val="left"/>
      </w:pPr>
      <w:r>
        <w:t xml:space="preserve">Logistic regression remains the regulatory standard for credit scoring: P(default|X) = 1/(1+exp(-beta0-beta1*X1-...)). Weight of Evidence (WoE) transforms categorical variables: WoE_i = ln(% non-defaults in i / % defaults in i). Information Value measures variable importance: IV = sum((% non-defaults - % defaults) * WoE).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Advantages: Interpretable, stable, regulatory familiar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Limitations: Linear decision boundaries, manual feature engineering, limited interaction modeling</w:t>
      </w:r>
    </w:p>
    <w:p>
      <w:pPr>
        <w:pStyle w:val="Heading2"/>
        <w:spacing w:line="360" w:before="200" w:after="100"/>
      </w:pPr>
      <w:r>
        <w:t xml:space="preserve">1.2 Expert Systems and Rule-Based Models</w:t>
      </w:r>
    </w:p>
    <w:p>
      <w:pPr>
        <w:spacing w:line="360" w:after="120"/>
        <w:jc w:val="left"/>
      </w:pPr>
      <w:r>
        <w:t xml:space="preserve">Traditional credit decisions relied on expert rules: IF debt_to_income &gt; 0.43 AND credit_score &lt; 640 THEN DECLINE. Expert systems lack adaptability to market changes and cannot learn from new data patterns.</w:t>
      </w:r>
    </w:p>
    <w:p>
      <w:pPr>
        <w:pStyle w:val="Heading1"/>
        <w:spacing w:line="360" w:before="240" w:after="120"/>
      </w:pPr>
      <w:r>
        <w:t xml:space="preserve">2. Machine Learning Approaches</w:t>
      </w:r>
    </w:p>
    <w:p>
      <w:pPr>
        <w:pStyle w:val="Heading2"/>
        <w:spacing w:line="360" w:before="200" w:after="100"/>
      </w:pPr>
      <w:r>
        <w:t xml:space="preserve">2.1 XGBoost for Probability of Default</w:t>
      </w:r>
    </w:p>
    <w:p>
      <w:pPr>
        <w:spacing w:line="360" w:after="120"/>
        <w:jc w:val="left"/>
      </w:pPr>
      <w:r>
        <w:t xml:space="preserve">XGBoost (eXtreme Gradient Boosting) sequentially builds decision trees, minimizing loss: fk = argmin_f sum_i L(yi, y_pred_i + fk(xi)) + Omega(fk). Regularization term Omega prevents overfitting by penalizing tree complexity.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Hyperparameter Tuning: max_depth (3-8), learning_rate (0.01-0.1), subsample (0.6-1.0), colsample_bytree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Feature Importance: Gain (improvement in accuracy), Split (frequency in trees), Cover (number of instances)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Training: sklearn.ensemble.GradientBoostingClassifier or xgboost.XGBClassifier</w:t>
      </w:r>
    </w:p>
    <w:p>
      <w:pPr>
        <w:pStyle w:val="Heading2"/>
        <w:spacing w:line="360" w:before="200" w:after="100"/>
      </w:pPr>
      <w:r>
        <w:t xml:space="preserve">2.2 LightGBM: Efficiency Advantages</w:t>
      </w:r>
    </w:p>
    <w:p>
      <w:pPr>
        <w:spacing w:line="360" w:after="120"/>
        <w:jc w:val="left"/>
      </w:pPr>
      <w:r>
        <w:t xml:space="preserve">LightGBM (Light Gradient Boosting Machine) grows trees leaf-wise (best loss reduction) rather than level-wise, enabling faster training on large datasets and lower memory usage. Histogram-based learning bins features, further reducing computation.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Speed: 10-20x faster than traditional GBDT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Memory: Uses ~1/10th memory of XGBoost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Advantage: Handles categorical features natively without encoding</w:t>
      </w:r>
    </w:p>
    <w:p>
      <w:pPr>
        <w:pStyle w:val="Heading2"/>
        <w:spacing w:line="360" w:before="200" w:after="100"/>
      </w:pPr>
      <w:r>
        <w:t xml:space="preserve">2.3 CatBoost for Categorical Features</w:t>
      </w:r>
    </w:p>
    <w:p>
      <w:pPr>
        <w:spacing w:line="360" w:after="120"/>
        <w:jc w:val="left"/>
      </w:pPr>
      <w:r>
        <w:t xml:space="preserve">CatBoost (Categorical Boosting) specializes in datasets with numerous categorical variables. Native categorical feature support prevents need for one-hot encoding, which inflates feature dimensionality. Targeted encoding reduces target leakage.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Categorical Support: One-hot encode, mean encoding, target statistics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Automatic Feature Interaction Discovery</w:t>
      </w:r>
    </w:p>
    <w:p>
      <w:pPr>
        <w:pStyle w:val="Heading2"/>
        <w:spacing w:line="360" w:before="200" w:after="100"/>
      </w:pPr>
      <w:r>
        <w:t xml:space="preserve">2.4 Neural Networks for Credit Scoring</w:t>
      </w:r>
    </w:p>
    <w:p>
      <w:pPr>
        <w:spacing w:line="360" w:after="120"/>
        <w:jc w:val="left"/>
      </w:pPr>
      <w:r>
        <w:t xml:space="preserve">Feedforward neural networks with embedding layers transform categorical variables into dense vectors, capturing non-obvious relationships. Architecture: embedding layers -&gt; dense -&gt; batch norm -&gt; dropout -&gt; output sigmoid.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Embedding Dimension: typically 2-10x cardinality^0.25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Batch Normalization: Stabilizes training, enables higher learning rates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Dropout: 0.2-0.5 prevents overfitting</w:t>
      </w:r>
    </w:p>
    <w:r>
      <w:br w:type="page"/>
    </w:r>
    <w:p>
      <w:pPr>
        <w:pStyle w:val="Heading1"/>
        <w:spacing w:line="360" w:before="240" w:after="120"/>
      </w:pPr>
      <w:r>
        <w:t xml:space="preserve">3. Model Interpretability: SHAP Values</w:t>
      </w:r>
    </w:p>
    <w:p>
      <w:pPr>
        <w:pStyle w:val="Heading2"/>
        <w:spacing w:line="360" w:before="200" w:after="100"/>
      </w:pPr>
      <w:r>
        <w:t xml:space="preserve">3.1 TreeSHAP Algorithm</w:t>
      </w:r>
    </w:p>
    <w:p>
      <w:pPr>
        <w:spacing w:line="360" w:after="120"/>
        <w:jc w:val="left"/>
      </w:pPr>
      <w:r>
        <w:t xml:space="preserve">SHAP (SHapley Additive exPlanations) values allocate model output to each feature using Shapley values from cooperative game theory: f(x) = base_value + sum(SHAP_i). TreeSHAP efficiently computes exact Shapley values for tree models in polynomial time.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Feature Contribution: sum(SHAP values) = model prediction - base prediction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Direction: Positive SHAP pushes toward higher prediction, negative toward lower</w:t>
      </w:r>
    </w:p>
    <w:p>
      <w:pPr>
        <w:pStyle w:val="Heading2"/>
        <w:spacing w:line="360" w:before="200" w:after="100"/>
      </w:pPr>
      <w:r>
        <w:t xml:space="preserve">3.2 SHAP for Regulatory Compliance</w:t>
      </w:r>
    </w:p>
    <w:p>
      <w:pPr>
        <w:spacing w:line="360" w:after="120"/>
        <w:jc w:val="left"/>
      </w:pPr>
      <w:r>
        <w:t xml:space="preserve">Regulators require explainability: why was applicant denied? SHAP provides per-prediction explanations: Feature X contributed +0.15 to default probability; Feature Y contributed -0.08. Waterfall plots visualize cumulative feature contributions from base value to final prediction.</w:t>
      </w:r>
    </w:p>
    <w:p>
      <w:pPr>
        <w:pStyle w:val="Heading2"/>
        <w:spacing w:line="360" w:before="200" w:after="100"/>
      </w:pPr>
      <w:r>
        <w:t xml:space="preserve">3.3 LIME: Local Linear Approximations</w:t>
      </w:r>
    </w:p>
    <w:p>
      <w:pPr>
        <w:spacing w:line="360" w:after="120"/>
        <w:jc w:val="left"/>
      </w:pPr>
      <w:r>
        <w:t xml:space="preserve">LIME (Local Interpretable Model-agnostic Explanations) approximates any model locally with interpretable linear model around prediction instance. Perturb inputs, predict with black-box model, fit weighted linear regression.</w:t>
      </w:r>
    </w:p>
    <w:p>
      <w:pPr>
        <w:pStyle w:val="Heading1"/>
        <w:spacing w:line="360" w:before="240" w:after="120"/>
      </w:pPr>
      <w:r>
        <w:t xml:space="preserve">4. Model Validation: Basel Requirements</w:t>
      </w:r>
    </w:p>
    <w:p>
      <w:pPr>
        <w:pStyle w:val="Heading2"/>
        <w:spacing w:line="360" w:before="200" w:after="100"/>
      </w:pPr>
      <w:r>
        <w:t xml:space="preserve">4.1 Discriminatory Power: AUC and KS Statistic</w:t>
      </w:r>
    </w:p>
    <w:p>
      <w:pPr>
        <w:spacing w:line="360" w:after="120"/>
        <w:jc w:val="left"/>
      </w:pPr>
      <w:r>
        <w:t xml:space="preserve">AUC (Area Under Curve) measures how well model separates defaults from non-defaults: AUC = P(score_non-default &gt; score_default). Kolmogorov-Smirnov (KS) statistic measures maximum separation of cumulative distributions: KS = max(|CDF_default - CDF_non-default|).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AUC &gt; 0.75: Excellent discrimination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KS &gt; 30%: Good separation</w:t>
      </w:r>
    </w:p>
    <w:p>
      <w:pPr>
        <w:pStyle w:val="Heading2"/>
        <w:spacing w:line="360" w:before="200" w:after="100"/>
      </w:pPr>
      <w:r>
        <w:t xml:space="preserve">4.2 Calibration: Hosmer-Lemeshow Test</w:t>
      </w:r>
    </w:p>
    <w:p>
      <w:pPr>
        <w:spacing w:line="360" w:after="120"/>
        <w:jc w:val="left"/>
      </w:pPr>
      <w:r>
        <w:t xml:space="preserve">Model is calibrated if predicted default probability matches realized default frequency. Divide population into deciles by predicted probability; chi-square test compares expected vs observed defaults: chi2 = sum((observed - expected)^2 / expected).</w:t>
      </w:r>
    </w:p>
    <w:p>
      <w:pPr>
        <w:pStyle w:val="Heading2"/>
        <w:spacing w:line="360" w:before="200" w:after="100"/>
      </w:pPr>
      <w:r>
        <w:t xml:space="preserve">4.3 Stability: Population Stability Index (PSI)</w:t>
      </w:r>
    </w:p>
    <w:p>
      <w:pPr>
        <w:spacing w:line="360" w:after="120"/>
        <w:jc w:val="left"/>
      </w:pPr>
      <w:r>
        <w:t xml:space="preserve">PSI detects model degradation due to population shift: PSI = sum((% current - % baseline) * ln(% current / % baseline)). PSI &gt; 0.10 indicates significant shift requiring model recalibration or retraining.</w:t>
      </w:r>
    </w:p>
    <w:p>
      <w:pPr>
        <w:pStyle w:val="Heading1"/>
        <w:spacing w:line="360" w:before="240" w:after="120"/>
      </w:pPr>
      <w:r>
        <w:t xml:space="preserve">5. Multi-Model Approach: PD, LGD, EAD</w:t>
      </w:r>
    </w:p>
    <w:p>
      <w:pPr>
        <w:spacing w:line="360" w:after="120"/>
        <w:jc w:val="left"/>
      </w:pPr>
      <w:r>
        <w:t xml:space="preserve">Advanced credit systems build separate models for: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PD (Probability of Default): Likelihood borrower defaults within 12 months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LGD (Loss Given Default): Percentage of exposure lost if default occurs (1 - recovery rate)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EAD (Exposure at Default): Credit amount outstanding when default occurs</w:t>
      </w:r>
    </w:p>
    <w:p>
      <w:pPr>
        <w:spacing w:line="360" w:after="120"/>
        <w:jc w:val="left"/>
      </w:pPr>
      <w:r>
        <w:t xml:space="preserve">Expected Loss = PD * LGD * EAD enables capital allocation per Basel III. Joint modeling improves accuracy vs independent models.</w:t>
      </w:r>
    </w:p>
    <w:p>
      <w:pPr>
        <w:pStyle w:val="Heading1"/>
        <w:spacing w:line="360" w:before="240" w:after="120"/>
      </w:pPr>
      <w:r>
        <w:t xml:space="preserve">Key Concepts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E2761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Concept</w:t>
            </w:r>
          </w:p>
        </w:tc>
        <w:tc>
          <w:tcPr>
            <w:tcW w:type="dxa" w:w="7500"/>
            <w:shd w:fill="1E2761" w:val="clear"/>
          </w:tcPr>
          <w:p>
            <w:pPr>
              <w:rPr>
                <w:b/>
                <w:bCs/>
                <w:color w:val="FFFFFF"/>
              </w:rPr>
            </w:pPr>
            <w:r>
              <w:t xml:space="preserve">Definition</w:t>
            </w:r>
          </w:p>
        </w:tc>
      </w:tr>
      <w:tr>
        <w:tc>
          <w:tcPr>
            <w:tcW w:type="dxa" w:w="2500"/>
          </w:tcPr>
          <w:p>
            <w:r>
              <w:t xml:space="preserve">Logistic Regression</w:t>
            </w:r>
          </w:p>
        </w:tc>
        <w:tc>
          <w:tcPr>
            <w:tcW w:type="dxa" w:w="7500"/>
          </w:tcPr>
          <w:p>
            <w:r>
              <w:t xml:space="preserve">Probabilistic classifier modeling P(y=1|x) using sigmoid function</w:t>
            </w:r>
          </w:p>
        </w:tc>
      </w:tr>
      <w:tr>
        <w:tc>
          <w:tcPr>
            <w:tcW w:type="dxa" w:w="2500"/>
          </w:tcPr>
          <w:p>
            <w:r>
              <w:t xml:space="preserve">Weight of Evidence</w:t>
            </w:r>
          </w:p>
        </w:tc>
        <w:tc>
          <w:tcPr>
            <w:tcW w:type="dxa" w:w="7500"/>
          </w:tcPr>
          <w:p>
            <w:r>
              <w:t xml:space="preserve">ln(% non-defaults / % defaults) in bin; measures discriminatory power</w:t>
            </w:r>
          </w:p>
        </w:tc>
      </w:tr>
      <w:tr>
        <w:tc>
          <w:tcPr>
            <w:tcW w:type="dxa" w:w="2500"/>
          </w:tcPr>
          <w:p>
            <w:r>
              <w:t xml:space="preserve">XGBoost</w:t>
            </w:r>
          </w:p>
        </w:tc>
        <w:tc>
          <w:tcPr>
            <w:tcW w:type="dxa" w:w="7500"/>
          </w:tcPr>
          <w:p>
            <w:r>
              <w:t xml:space="preserve">Gradient boosting ensemble building trees sequentially to minimize loss</w:t>
            </w:r>
          </w:p>
        </w:tc>
      </w:tr>
      <w:tr>
        <w:tc>
          <w:tcPr>
            <w:tcW w:type="dxa" w:w="2500"/>
          </w:tcPr>
          <w:p>
            <w:r>
              <w:t xml:space="preserve">SHAP Value</w:t>
            </w:r>
          </w:p>
        </w:tc>
        <w:tc>
          <w:tcPr>
            <w:tcW w:type="dxa" w:w="7500"/>
          </w:tcPr>
          <w:p>
            <w:r>
              <w:t xml:space="preserve">Shapley value-based feature contribution to model output</w:t>
            </w:r>
          </w:p>
        </w:tc>
      </w:tr>
      <w:tr>
        <w:tc>
          <w:tcPr>
            <w:tcW w:type="dxa" w:w="2500"/>
          </w:tcPr>
          <w:p>
            <w:r>
              <w:t xml:space="preserve">AUC-ROC</w:t>
            </w:r>
          </w:p>
        </w:tc>
        <w:tc>
          <w:tcPr>
            <w:tcW w:type="dxa" w:w="7500"/>
          </w:tcPr>
          <w:p>
            <w:r>
              <w:t xml:space="preserve">Area under receiver operating characteristic curve; 0.5 = random, 1.0 = perfect</w:t>
            </w:r>
          </w:p>
        </w:tc>
      </w:tr>
      <w:tr>
        <w:tc>
          <w:tcPr>
            <w:tcW w:type="dxa" w:w="2500"/>
          </w:tcPr>
          <w:p>
            <w:r>
              <w:t xml:space="preserve">Calibration</w:t>
            </w:r>
          </w:p>
        </w:tc>
        <w:tc>
          <w:tcPr>
            <w:tcW w:type="dxa" w:w="7500"/>
          </w:tcPr>
          <w:p>
            <w:r>
              <w:t xml:space="preserve">Predicted probability matches realized frequency; tested with Hosmer-Lemeshow</w:t>
            </w:r>
          </w:p>
        </w:tc>
      </w:tr>
      <w:tr>
        <w:tc>
          <w:tcPr>
            <w:tcW w:type="dxa" w:w="2500"/>
          </w:tcPr>
          <w:p>
            <w:r>
              <w:t xml:space="preserve">PSI</w:t>
            </w:r>
          </w:p>
        </w:tc>
        <w:tc>
          <w:tcPr>
            <w:tcW w:type="dxa" w:w="7500"/>
          </w:tcPr>
          <w:p>
            <w:r>
              <w:t xml:space="preserve">Population Stability Index detects covariate shift requiring recalibration</w:t>
            </w:r>
          </w:p>
        </w:tc>
      </w:tr>
      <w:tr>
        <w:tc>
          <w:tcPr>
            <w:tcW w:type="dxa" w:w="2500"/>
          </w:tcPr>
          <w:p>
            <w:r>
              <w:t xml:space="preserve">LGD Model</w:t>
            </w:r>
          </w:p>
        </w:tc>
        <w:tc>
          <w:tcPr>
            <w:tcW w:type="dxa" w:w="7500"/>
          </w:tcPr>
          <w:p>
            <w:r>
              <w:t xml:space="preserve">Predicts loss given default as percentage of exposure</w:t>
            </w:r>
          </w:p>
        </w:tc>
      </w:tr>
    </w:tbl>
    <w:p>
      <w:pPr>
        <w:spacing w:after="240"/>
      </w:pPr>
    </w:p>
    <w:p>
      <w:pPr>
        <w:pStyle w:val="Heading1"/>
        <w:spacing w:line="360" w:before="240" w:after="120"/>
      </w:pPr>
      <w:r>
        <w:t xml:space="preserve">6. Python XGBoost Example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import xgboost as xgb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import shap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from sklearn.model_selection import train_test_split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from sklearn.metrics import roc_auc_score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# Load data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X, y = load_credit_data()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X_train, X_test, y_train, y_test = train_test_split(X, y, test_size=0.3)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# Train XGBoost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model = xgb.XGBClassifier(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max_depth=6,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learning_rate=0.05,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n_estimators=100,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subsample=0.8,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   colsample_bytree=0.8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model.fit(X_train, y_train)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# Evaluate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y_pred = model.predict_proba(X_test)[:, 1]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auc = roc_auc_score(y_test, y_pred)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print(f'AUC: {auc:.4f}')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 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# SHAP explanations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explainer = shap.TreeExplainer(model)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shap_values = explainer.shap_values(X_test)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line="240" w:after="0"/>
      </w:pPr>
      <w:r>
        <w:t xml:space="preserve">shap.summary_plot(shap_values, X_test, plot_type='bar')</w:t>
      </w:r>
    </w:p>
    <w:p>
      <w:pPr>
        <w:spacing w:after="240"/>
      </w:pPr>
    </w:p>
    <w:p>
      <w:pPr>
        <w:pStyle w:val="Heading1"/>
        <w:spacing w:line="360" w:before="240" w:after="120"/>
      </w:pPr>
      <w:r>
        <w:t xml:space="preserve">References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Naeem Siddiqi (2006). Credit Risk Scorecards: Developing and Implementing Intelligent Credit Scoring. Wiley.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Lundberg, S. &amp; Lee, S. (2017). A Unified Approach to Interpreting Model Predictions. NIPS.</w:t>
      </w:r>
    </w:p>
    <w:p>
      <w:pPr>
        <w:pStyle w:val="ListParagraph"/>
        <w:numPr>
          <w:ilvl w:val="0"/>
          <w:numId w:val="1"/>
        </w:numPr>
        <w:spacing w:line="300" w:after="80"/>
      </w:pPr>
      <w:r>
        <w:t xml:space="preserve">Basel Committee on Banking Supervision (2015). Guidance on Credit Risk and the Use of Credit Risk Mitigation</w:t>
      </w:r>
    </w:p>
    <w:p>
      <w:pPr>
        <w:spacing w:after="240"/>
      </w:pPr>
    </w:p>
    <w:p>
      <w:pPr>
        <w:pStyle w:val="Heading1"/>
        <w:spacing w:line="360" w:before="240" w:after="120"/>
      </w:pPr>
      <w:r>
        <w:t xml:space="preserve">Next Class Preview</w:t>
      </w:r>
    </w:p>
    <w:p>
      <w:pPr>
        <w:spacing w:line="360" w:after="120"/>
        <w:jc w:val="left"/>
      </w:pPr>
      <w:r>
        <w:t xml:space="preserve">Class 4 addresses market risk quantification. We will implement Value at Risk (VaR) models, deep reinforcement learning for portfolio optimization, and dynamic factor models for risk estimation.</w:t>
      </w:r>
    </w:p>
    <w:sectPr>
      <w:headerReference w:type="default" r:id="rId6"/>
      <w:footerReference w:type="default" r:id="rId7"/>
      <w:headerReference w:type="first" r:id="rId9"/>
      <w:footerReference w:type="first" r:id="rId10"/>
      <w:headerReference w:type="even" r:id="rId11"/>
      <w:footerReference w:type="even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1"/>
      </w:pBdr>
      <w:jc w:val="center"/>
    </w:pPr>
    <w:r>
      <w:t>AI for Finance: Class Notes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2026-02-14T05:12:04.771Z</dcterms:created>
  <dcterms:modified xsi:type="dcterms:W3CDTF">2026-02-14T05:12:04.771Z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