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Proxiant Academy | AI for Finance</w:t>
      </w:r>
    </w:p>
    <w:p>
      <w:pPr>
        <w:pStyle w:val="Heading1"/>
        <w:spacing w:after="240"/>
      </w:pPr>
      <w:r>
        <w:t>Week 5: AI-Powered Compliance Monitoring System: Solution</w:t>
      </w:r>
    </w:p>
    <w:p>
      <w:pPr>
        <w:pStyle w:val="Heading2"/>
        <w:spacing w:after="200"/>
      </w:pPr>
      <w:r>
        <w:t xml:space="preserve">Solution Overview</w:t>
      </w:r>
    </w:p>
    <w:p>
      <w:pPr>
        <w:spacing w:after="200"/>
      </w:pPr>
      <w:r>
        <w:t xml:space="preserve">This document provides the complete solution to Week 5's project. Study this solution to understand best practices and production considerations.</w:t>
      </w:r>
    </w:p>
    <w:p>
      <w:pPr>
        <w:pStyle w:val="Heading2"/>
        <w:spacing w:after="200"/>
      </w:pPr>
      <w:r>
        <w:t xml:space="preserve">Key Implementation Areas</w:t>
      </w:r>
    </w:p>
    <w:p>
      <w:pPr>
        <w:pStyle w:val="ListParagraph"/>
        <w:numPr>
          <w:ilvl w:val="0"/>
          <w:numId w:val="1"/>
        </w:numPr>
        <w:spacing w:after="100"/>
      </w:pPr>
      <w:r>
        <w:t xml:space="preserve">RAG System: Production-grade RAG with chunking and retrieval</w:t>
      </w:r>
    </w:p>
    <w:p>
      <w:pPr>
        <w:pStyle w:val="ListParagraph"/>
        <w:numPr>
          <w:ilvl w:val="0"/>
          <w:numId w:val="1"/>
        </w:numPr>
        <w:spacing w:after="100"/>
      </w:pPr>
      <w:r>
        <w:t xml:space="preserve">Compliance Classifier: Highly accurate classifier with excellent precision</w:t>
      </w:r>
    </w:p>
    <w:p>
      <w:pPr>
        <w:pStyle w:val="ListParagraph"/>
        <w:numPr>
          <w:ilvl w:val="0"/>
          <w:numId w:val="1"/>
        </w:numPr>
        <w:spacing w:after="100"/>
      </w:pPr>
      <w:r>
        <w:t xml:space="preserve">NER Pipeline: Sophisticated NER with financial entities</w:t>
      </w:r>
    </w:p>
    <w:p>
      <w:pPr>
        <w:pStyle w:val="ListParagraph"/>
        <w:numPr>
          <w:ilvl w:val="0"/>
          <w:numId w:val="1"/>
        </w:numPr>
        <w:spacing w:after="100"/>
      </w:pPr>
      <w:r>
        <w:t xml:space="preserve">Audit Trail: Complete audit trail with SHAP explanations</w:t>
      </w:r>
    </w:p>
    <w:p>
      <w:pPr>
        <w:pStyle w:val="Heading2"/>
        <w:spacing w:before="200" w:after="200"/>
      </w:pPr>
      <w:r>
        <w:t xml:space="preserve">Discussion Points</w:t>
      </w:r>
    </w:p>
    <w:p>
      <w:pPr>
        <w:spacing w:after="200"/>
      </w:pPr>
      <w:r>
        <w:t xml:space="preserve">The main challenge in this project is balancing accuracy with operational constraints. In practice, models must be interpretable for business stakeholders, robust to data drift, deployable within infrastructure constraints, and auditable for regulatory compliance.</w:t>
      </w:r>
    </w:p>
    <w:p>
      <w:pPr>
        <w:pStyle w:val="Heading2"/>
        <w:spacing w:after="200"/>
      </w:pPr>
      <w:r>
        <w:t xml:space="preserve">Production Considerations</w:t>
      </w:r>
    </w:p>
    <w:p>
      <w:pPr>
        <w:spacing w:after="200"/>
      </w:pPr>
      <w:r>
        <w:t xml:space="preserve">Future improvements could include: Integration with real-time data sources; A/B testing of model variants; Automated retraining pipeline; Extended monitoring and alerting; Expansion to additional use cases; Cloud deployment with containerization; Compliance audit trails with SHAP explanations.</w:t>
      </w:r>
    </w:p>
    <w:p>
      <w:pPr>
        <w:spacing w:before="300"/>
      </w:pPr>
    </w:p>
    <w:p>
      <w:pPr>
        <w:jc w:val="center"/>
      </w:pPr>
      <w:r>
        <w:t>proxiant.ai</w:t>
      </w:r>
    </w:p>
    <w:sectPr>
      <w:headerReference w:type="default" r:id="rId7"/>
      <w:footerReference w:type="default" r:id="rId8"/>
      <w:headerReference w:type="first" r:id="rId9"/>
      <w:footerReference w:type="first" r:id="rId10"/>
      <w:headerReference w:type="even" r:id="rId11"/>
      <w:footerReference w:type="even"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2026-02-14T05:36:59.404Z</dcterms:created>
  <dcterms:modified xsi:type="dcterms:W3CDTF">2026-02-14T05:36:59.404Z</dcterms:modified>
</cp:coreProperties>
</file>

<file path=docProps/custom.xml><?xml version="1.0" encoding="utf-8"?>
<Properties xmlns="http://schemas.openxmlformats.org/officeDocument/2006/custom-properties" xmlns:vt="http://schemas.openxmlformats.org/officeDocument/2006/docPropsVTypes"/>
</file>