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4 Assignment Solution: Maintenance Strategy Evaluation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Maintenance Strategy Evaluation for 3 critical machines.</w:t>
      </w:r>
    </w:p>
    <w:p>
      <w:pPr>
        <w:spacing w:after="120"/>
        <w:jc w:val="left"/>
      </w:pPr>
      <w:r>
        <w:t xml:space="preserve">Data: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Machine 1: 8 failures/5 years, $15k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Machine 2: 12 failures/5 years, $8k impact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Machine 3: 4 failures/5 years, $25k impact</w:t>
      </w:r>
    </w:p>
    <w:r>
      <w:br w:type="page"/>
    </w:r>
    <w:p>
      <w:pPr>
        <w:spacing w:after="120"/>
        <w:jc w:val="left"/>
      </w:pPr>
      <w:r>
        <w:t xml:space="preserve">Analysis: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MTBF calculation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Weibull fit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models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Optimal intervals</w:t>
      </w:r>
    </w:p>
    <w:r>
      <w:br w:type="page"/>
    </w:r>
    <w:p>
      <w:pPr>
        <w:spacing w:after="120"/>
        <w:jc w:val="left"/>
      </w:pPr>
      <w:r>
        <w:t xml:space="preserve">Strategies: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Reactive: high downtime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Preventive: scheduled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Predictive: condition-based</w:t>
      </w:r>
    </w:p>
    <w:r>
      <w:br w:type="page"/>
    </w:r>
    <w:p>
      <w:pPr>
        <w:spacing w:after="120"/>
        <w:jc w:val="left"/>
      </w:pPr>
      <w:r>
        <w:t xml:space="preserve">Costs: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Planned: $2-3k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Unplanned: $8-25k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Downtime: $5k/hour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Failure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Weibull fit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comparison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Intervals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Annual savings</w:t>
      </w:r>
    </w:p>
    <w:r>
      <w:br w:type="page"/>
    </w:r>
    <w:p>
      <w:pPr>
        <w:spacing w:after="120"/>
        <w:jc w:val="left"/>
      </w:pPr>
      <w:r>
        <w:t xml:space="preserve">Insights: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Bathtub failure rate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Predictive saves 25-35% vs reactive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Critical machines benefit most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2026-02-14T12:40:02.832Z</dcterms:created>
  <dcterms:modified xsi:type="dcterms:W3CDTF">2026-02-14T12:40:02.832Z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