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365D" w:val="clear"/>
        <w:spacing w:before="100" w:after="100"/>
        <w:jc w:val="center"/>
      </w:pPr>
      <w:r>
        <w:t>Proxiant Academy | AI for Operations</w:t>
      </w:r>
    </w:p>
    <w:p/>
    <w:p>
      <w:pPr>
        <w:spacing w:before="200" w:after="100"/>
        <w:jc w:val="center"/>
      </w:pPr>
      <w:r>
        <w:t xml:space="preserve">Week 6 Assignment: AI Operations Business Case</w:t>
      </w:r>
    </w:p>
    <w:p>
      <w:pPr>
        <w:spacing w:after="300"/>
        <w:jc w:val="center"/>
      </w:pPr>
      <w:r>
        <w:t xml:space="preserve">[Assignment]</w:t>
      </w:r>
    </w:p>
    <w:p>
      <w:pPr>
        <w:spacing w:after="120"/>
        <w:jc w:val="left"/>
      </w:pPr>
      <w:r>
        <w:t xml:space="preserve">AI Operations Business Case for C-suite.</w:t>
      </w:r>
    </w:p>
    <w:p>
      <w:pPr>
        <w:spacing w:after="120"/>
        <w:jc w:val="left"/>
      </w:pPr>
      <w:r>
        <w:t xml:space="preserve">Scope: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One use case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One unit/facility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6-12 months</w:t>
      </w:r>
    </w:p>
    <w:r>
      <w:br w:type="page"/>
    </w:r>
    <w:p>
      <w:pPr>
        <w:spacing w:after="120"/>
        <w:jc w:val="left"/>
      </w:pPr>
      <w:r>
        <w:t xml:space="preserve">Sections: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Executive summary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Problem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Solution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Financial analysis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Risks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Timeline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Change management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KPI dashboard</w:t>
      </w:r>
    </w:p>
    <w:r>
      <w:br w:type="page"/>
    </w:r>
    <w:p>
      <w:pPr>
        <w:spacing w:after="120"/>
        <w:jc w:val="left"/>
      </w:pPr>
      <w:r>
        <w:t xml:space="preserve">ROI: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Costs: licenses, infra, talent, training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Benefits: revenue, savings, efficiency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Timeline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Scenarios</w:t>
      </w:r>
    </w:p>
    <w:r>
      <w:br w:type="page"/>
    </w:r>
    <w:p>
      <w:pPr>
        <w:spacing w:after="120"/>
        <w:jc w:val="left"/>
      </w:pPr>
      <w:r>
        <w:t xml:space="preserve">Risks: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Technical: quality, models, integration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Org: resistance, skills, resources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Market: competition, regulation</w:t>
      </w:r>
    </w:p>
    <w:r>
      <w:br w:type="page"/>
    </w:r>
    <w:p>
      <w:pPr>
        <w:spacing w:after="120"/>
        <w:jc w:val="left"/>
      </w:pPr>
      <w:r>
        <w:t xml:space="preserve">Deliverables: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Case (8-10 pages)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Financial model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Gantt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Dashboard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Summary (1-2 pages)</w:t>
      </w:r>
    </w:p>
    <w:p>
      <w:pPr>
        <w:pBdr>
          <w:top w:val="single" w:color="4CAF50" w:sz="6" w:space="1"/>
        </w:pBdr>
        <w:spacing w:before="200" w:after="100"/>
        <w:jc w:val="center"/>
      </w:pPr>
      <w:r>
        <w:t>proxiant.ai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2026-02-14T12:40:02.847Z</dcterms:created>
  <dcterms:modified xsi:type="dcterms:W3CDTF">2026-02-14T12:40:02.847Z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