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4: Retrieval Funnel</w:t>
      </w:r>
    </w:p>
    <w:p>
      <w:r>
        <w:rPr>
          <w:i/>
          <w:color w:val="333333"/>
          <w:sz w:val="28"/>
        </w:rPr>
        <w:t>Sparse + dense, Matryoshka, ColBERT, and cross-encoder fusion</w:t>
      </w:r>
    </w:p>
    <w:p>
      <w:r>
        <w:rPr>
          <w:i/>
          <w:color w:val="333333"/>
          <w:sz w:val="22"/>
        </w:rPr>
        <w:t>Main session date: Saturday, October 24, 2026</w:t>
      </w:r>
    </w:p>
    <w:p>
      <w:r>
        <w:rPr>
          <w:i/>
          <w:color w:val="333333"/>
          <w:sz w:val="22"/>
        </w:rPr>
        <w:t>LLM and Enterprise RAG Bootcamp | Proxiant Academy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Session Overview</w:t>
      </w:r>
    </w:p>
    <w:p>
      <w:r>
        <w:rPr>
          <w:color w:val="333333"/>
          <w:sz w:val="22"/>
        </w:rPr>
        <w:t>Production retrieval is a funnel: many cheap candidates in, few well-scored results out. Today we build it: sparse + dense first stage, Matryoshka pruning, ColBERT late interaction, cross-encoder fusion at the top.</w:t>
      </w:r>
    </w:p>
    <w:p>
      <w:r>
        <w:rPr>
          <w:b/>
          <w:color w:val="1E2761"/>
          <w:sz w:val="26"/>
        </w:rPr>
        <w:t>Learning Objectives</w:t>
      </w:r>
    </w:p>
    <w:p>
      <w:pPr>
        <w:pStyle w:val="ListBullet"/>
      </w:pPr>
      <w:r>
        <w:rPr>
          <w:color w:val="333333"/>
          <w:sz w:val="22"/>
        </w:rPr>
        <w:t>Combine BM25 and dense retrieval in a single retrieve step</w:t>
      </w:r>
    </w:p>
    <w:p>
      <w:pPr>
        <w:pStyle w:val="ListBullet"/>
      </w:pPr>
      <w:r>
        <w:rPr>
          <w:color w:val="333333"/>
          <w:sz w:val="22"/>
        </w:rPr>
        <w:t>Use Matryoshka embeddings to prune cheap candidates quickly</w:t>
      </w:r>
    </w:p>
    <w:p>
      <w:pPr>
        <w:pStyle w:val="ListBullet"/>
      </w:pPr>
      <w:r>
        <w:rPr>
          <w:color w:val="333333"/>
          <w:sz w:val="22"/>
        </w:rPr>
        <w:t>Apply ColBERT (late-interaction) for token-level scoring</w:t>
      </w:r>
    </w:p>
    <w:p>
      <w:pPr>
        <w:pStyle w:val="ListBullet"/>
      </w:pPr>
      <w:r>
        <w:rPr>
          <w:color w:val="333333"/>
          <w:sz w:val="22"/>
        </w:rPr>
        <w:t>Use a cross-encoder for final re-ranking</w:t>
      </w:r>
    </w:p>
    <w:p>
      <w:pPr>
        <w:pStyle w:val="ListBullet"/>
      </w:pPr>
      <w:r>
        <w:rPr>
          <w:color w:val="333333"/>
          <w:sz w:val="22"/>
        </w:rPr>
        <w:t>Measure and tune the funnel end to end</w:t>
      </w:r>
    </w:p>
    <w:p>
      <w:r>
        <w:br w:type="page"/>
      </w:r>
    </w:p>
    <w:p>
      <w:r>
        <w:rPr>
          <w:b/>
          <w:color w:val="1E2761"/>
          <w:sz w:val="32"/>
        </w:rPr>
        <w:t>Detailed Notes</w:t>
      </w:r>
    </w:p>
    <w:p>
      <w:r>
        <w:rPr>
          <w:b/>
          <w:color w:val="1E2761"/>
          <w:sz w:val="26"/>
        </w:rPr>
        <w:t>1. Sparse retrieval still matters</w:t>
      </w:r>
    </w:p>
    <w:p>
      <w:r>
        <w:rPr>
          <w:color w:val="333333"/>
          <w:sz w:val="22"/>
        </w:rPr>
        <w:t>BM25 finds exact and rare term matches that dense models miss. SPLADE adds neural query and document expansion while preserving BM25's efficient inverted index. In production, hybrid (sparse + dense) almost always beats either alone.</w:t>
      </w:r>
    </w:p>
    <w:p>
      <w:r>
        <w:rPr>
          <w:b/>
          <w:color w:val="1E2761"/>
          <w:sz w:val="26"/>
        </w:rPr>
        <w:t>2. Dense retrieval realities</w:t>
      </w:r>
    </w:p>
    <w:p>
      <w:r>
        <w:rPr>
          <w:color w:val="333333"/>
          <w:sz w:val="22"/>
        </w:rPr>
        <w:t>Bi-encoders independently encode query and documents. Cosine similarity at query time. Cheap, fast, scales. Weak on rare terms, named entities, and domain-specific abbreviations until fine-tuned.</w:t>
      </w:r>
    </w:p>
    <w:p>
      <w:r>
        <w:rPr>
          <w:b/>
          <w:color w:val="1E2761"/>
          <w:sz w:val="26"/>
        </w:rPr>
        <w:t>3. Reciprocal rank fusion</w:t>
      </w:r>
    </w:p>
    <w:p>
      <w:r>
        <w:rPr>
          <w:color w:val="333333"/>
          <w:sz w:val="22"/>
        </w:rPr>
        <w:t>Combine multiple rankings by summing 1/(k + rank). Parameter-light, robust, and the simplest way to fuse sparse and dense rankings.</w:t>
      </w:r>
    </w:p>
    <w:p>
      <w:r>
        <w:rPr>
          <w:color w:val="333333"/>
          <w:sz w:val="22"/>
        </w:rPr>
        <w:t>Reference snippet: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rrf(rankings, k=60):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scores = {}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for ranking in rankings: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for rank, doc in enumerate(ranking):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scores[doc] = scores.get(doc, 0) + 1.0/(k + rank)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sorted(scores.items(), key=lambda x: -x[1])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26"/>
        </w:rPr>
        <w:t>4. Matryoshka Representation Learning</w:t>
      </w:r>
    </w:p>
    <w:p>
      <w:r>
        <w:rPr>
          <w:color w:val="333333"/>
          <w:sz w:val="22"/>
        </w:rPr>
        <w:t>Train embeddings that work at multiple truncation lengths. A 768-dim embedding also functions as a useful 64-dim embedding for cheap pruning. Use the short truncation to filter, the full length to score.</w:t>
      </w:r>
    </w:p>
    <w:p>
      <w:r>
        <w:rPr>
          <w:b/>
          <w:color w:val="1E2761"/>
          <w:sz w:val="26"/>
        </w:rPr>
        <w:t>5. ColBERT late interaction</w:t>
      </w:r>
    </w:p>
    <w:p>
      <w:r>
        <w:rPr>
          <w:color w:val="333333"/>
          <w:sz w:val="22"/>
        </w:rPr>
        <w:t>Score by sum of maximum query-token-to-doc-token similarities. More expressive than single-vector bi-encoders, far cheaper than cross-encoders. The PLAID engine makes it fast enough for production.</w:t>
      </w:r>
    </w:p>
    <w:p>
      <w:r>
        <w:rPr>
          <w:b/>
          <w:color w:val="1E2761"/>
          <w:sz w:val="26"/>
        </w:rPr>
        <w:t>6. Cross-encoder fusion</w:t>
      </w:r>
    </w:p>
    <w:p>
      <w:r>
        <w:rPr>
          <w:color w:val="333333"/>
          <w:sz w:val="22"/>
        </w:rPr>
        <w:t>Encode the (query, doc) pair jointly with full attention. Most accurate, most expensive. Reserve for the final 20-100 candidates.</w:t>
      </w:r>
    </w:p>
    <w:p>
      <w:r>
        <w:rPr>
          <w:b/>
          <w:color w:val="1E2761"/>
          <w:sz w:val="26"/>
        </w:rPr>
        <w:t>7. The four-stage funnel</w:t>
      </w:r>
    </w:p>
    <w:p>
      <w:r>
        <w:rPr>
          <w:color w:val="333333"/>
          <w:sz w:val="22"/>
        </w:rPr>
        <w:t>Stage 1: sparse + dense in parallel, 200 candidates each. Stage 2: Matryoshka prune to 100. Stage 3: ColBERT score to 30. Stage 4: cross-encoder rerank to top 5. Tune candidate counts per stage on your data.</w:t>
      </w:r>
    </w:p>
    <w:p>
      <w:r>
        <w:br w:type="page"/>
      </w:r>
    </w:p>
    <w:p>
      <w:r>
        <w:rPr>
          <w:b/>
          <w:color w:val="1E2761"/>
          <w:sz w:val="32"/>
        </w:rPr>
        <w:t>Topics at a Glance</w:t>
      </w:r>
    </w:p>
    <w:p>
      <w:r>
        <w:rPr>
          <w:b/>
          <w:color w:val="333333"/>
          <w:sz w:val="24"/>
        </w:rPr>
        <w:t>1. Sparse retrieval (BM25, SPLADE)</w:t>
      </w:r>
    </w:p>
    <w:p>
      <w:r>
        <w:rPr>
          <w:color w:val="333333"/>
          <w:sz w:val="22"/>
        </w:rPr>
        <w:t>BM25 is the classical baseline. SPLADE learns sparse representations that match BM25's efficiency with neural semantics.</w:t>
      </w:r>
    </w:p>
    <w:p>
      <w:r>
        <w:rPr>
          <w:b/>
          <w:color w:val="333333"/>
          <w:sz w:val="24"/>
        </w:rPr>
        <w:t>2. Dense retrieval</w:t>
      </w:r>
    </w:p>
    <w:p>
      <w:r>
        <w:rPr>
          <w:color w:val="333333"/>
          <w:sz w:val="22"/>
        </w:rPr>
        <w:t>Bi-encoders project queries and documents into a shared space. Cosine similarity gives the score. Cheap at query time once the index is built.</w:t>
      </w:r>
    </w:p>
    <w:p>
      <w:r>
        <w:rPr>
          <w:b/>
          <w:color w:val="333333"/>
          <w:sz w:val="24"/>
        </w:rPr>
        <w:t>3. Hybrid retrieval</w:t>
      </w:r>
    </w:p>
    <w:p>
      <w:r>
        <w:rPr>
          <w:color w:val="333333"/>
          <w:sz w:val="22"/>
        </w:rPr>
        <w:t>Combine sparse and dense via reciprocal rank fusion or weighted score sum. Almost always beats either alone.</w:t>
      </w:r>
    </w:p>
    <w:p>
      <w:r>
        <w:rPr>
          <w:b/>
          <w:color w:val="333333"/>
          <w:sz w:val="24"/>
        </w:rPr>
        <w:t>4. Matryoshka Representation Learning</w:t>
      </w:r>
    </w:p>
    <w:p>
      <w:r>
        <w:rPr>
          <w:color w:val="333333"/>
          <w:sz w:val="22"/>
        </w:rPr>
        <w:t>Train embeddings that work at multiple truncation lengths (64, 128, 512). Use the short truncation for cheap pruning, the full length for final scoring.</w:t>
      </w:r>
    </w:p>
    <w:p>
      <w:r>
        <w:rPr>
          <w:b/>
          <w:color w:val="333333"/>
          <w:sz w:val="24"/>
        </w:rPr>
        <w:t>5. ColBERT (late interaction)</w:t>
      </w:r>
    </w:p>
    <w:p>
      <w:r>
        <w:rPr>
          <w:color w:val="333333"/>
          <w:sz w:val="22"/>
        </w:rPr>
        <w:t>Score by summing the maximum similarity of each query token to any document token. More expressive than bi-encoders, cheaper than cross-encoders.</w:t>
      </w:r>
    </w:p>
    <w:p>
      <w:r>
        <w:rPr>
          <w:b/>
          <w:color w:val="333333"/>
          <w:sz w:val="24"/>
        </w:rPr>
        <w:t>6. Cross-encoder fusion</w:t>
      </w:r>
    </w:p>
    <w:p>
      <w:r>
        <w:rPr>
          <w:color w:val="333333"/>
          <w:sz w:val="22"/>
        </w:rPr>
        <w:t>Encode the (query, document) pair jointly. Most accurate, most expensive. Use only on the final 20 to 100 candidates.</w:t>
      </w:r>
    </w:p>
    <w:p>
      <w:r>
        <w:rPr>
          <w:b/>
          <w:color w:val="333333"/>
          <w:sz w:val="24"/>
        </w:rPr>
        <w:t>7. The four-stage funnel</w:t>
      </w:r>
    </w:p>
    <w:p>
      <w:r>
        <w:rPr>
          <w:color w:val="333333"/>
          <w:sz w:val="22"/>
        </w:rPr>
        <w:t>Stage 1: BM25 + dense in parallel (200 candidates each). Stage 2: Matryoshka prune to top 100. Stage 3: ColBERT score to top 30. Stage 4: cross-encoder rerank to top 5.</w:t>
      </w:r>
    </w:p>
    <w:p>
      <w:r>
        <w:rPr>
          <w:b/>
          <w:color w:val="1E2761"/>
          <w:sz w:val="32"/>
        </w:rPr>
        <w:t>Research Papers</w:t>
      </w:r>
    </w:p>
    <w:p>
      <w:r>
        <w:rPr>
          <w:b/>
          <w:color w:val="333333"/>
          <w:sz w:val="24"/>
        </w:rPr>
        <w:t>ColBERT: Efficient and Effective Passage Search via Contextualized Late Interaction</w:t>
      </w:r>
    </w:p>
    <w:p>
      <w:r>
        <w:rPr>
          <w:color w:val="333333"/>
          <w:sz w:val="22"/>
        </w:rPr>
        <w:t>Khattab and Zaharia, 2020 (arXiv:2004.12832).</w:t>
      </w:r>
    </w:p>
    <w:p>
      <w:r>
        <w:rPr>
          <w:b/>
          <w:color w:val="333333"/>
          <w:sz w:val="24"/>
        </w:rPr>
        <w:t>Matryoshka Representation Learning</w:t>
      </w:r>
    </w:p>
    <w:p>
      <w:r>
        <w:rPr>
          <w:color w:val="333333"/>
          <w:sz w:val="22"/>
        </w:rPr>
        <w:t>Kusupati et al., 2022 (arXiv:2205.13147).</w:t>
      </w:r>
    </w:p>
    <w:p>
      <w:r>
        <w:rPr>
          <w:b/>
          <w:color w:val="333333"/>
          <w:sz w:val="24"/>
        </w:rPr>
        <w:t>SPLADE: Sparse Lexical and Expansion Model for First Stage Ranking</w:t>
      </w:r>
    </w:p>
    <w:p>
      <w:r>
        <w:rPr>
          <w:color w:val="333333"/>
          <w:sz w:val="22"/>
        </w:rPr>
        <w:t>Formal et al., 2021 (arXiv:2107.05720).</w:t>
      </w:r>
    </w:p>
    <w:p>
      <w:r>
        <w:rPr>
          <w:b/>
          <w:color w:val="1E2761"/>
          <w:sz w:val="32"/>
        </w:rPr>
        <w:t>This Week's Labs</w:t>
      </w:r>
    </w:p>
    <w:p>
      <w:r>
        <w:rPr>
          <w:b/>
          <w:color w:val="333333"/>
          <w:sz w:val="24"/>
        </w:rPr>
        <w:t>Matryoshka embeddings and progressive pruning</w:t>
      </w:r>
    </w:p>
    <w:p>
      <w:r>
        <w:rPr>
          <w:color w:val="333333"/>
          <w:sz w:val="22"/>
        </w:rPr>
        <w:t>Objective: Train or load a Matryoshka embedder. Build a two-stage retrieval: 64-dim prune, full-dim score.</w:t>
      </w:r>
    </w:p>
    <w:p>
      <w:r>
        <w:rPr>
          <w:color w:val="333333"/>
          <w:sz w:val="22"/>
        </w:rPr>
        <w:t>Deliverables: Latency and recall numbers and a tuning recommendation.</w:t>
      </w:r>
    </w:p>
    <w:p>
      <w:r>
        <w:rPr>
          <w:b/>
          <w:color w:val="333333"/>
          <w:sz w:val="24"/>
        </w:rPr>
        <w:t>Four-stage retrieval funnel end to end</w:t>
      </w:r>
    </w:p>
    <w:p>
      <w:r>
        <w:rPr>
          <w:color w:val="333333"/>
          <w:sz w:val="22"/>
        </w:rPr>
        <w:t>Objective: Build the full four-stage funnel and benchmark against the dense-only baseline.</w:t>
      </w:r>
    </w:p>
    <w:p>
      <w:r>
        <w:rPr>
          <w:color w:val="333333"/>
          <w:sz w:val="22"/>
        </w:rPr>
        <w:t>Deliverables: Funnel diagram with measured numbers and a tuning writeup.</w:t>
      </w:r>
    </w:p>
    <w:p>
      <w:r>
        <w:rPr>
          <w:b/>
          <w:color w:val="1E2761"/>
          <w:sz w:val="32"/>
        </w:rPr>
        <w:t>Review Questions</w:t>
      </w:r>
    </w:p>
    <w:p>
      <w:pPr>
        <w:pStyle w:val="ListBullet"/>
      </w:pPr>
      <w:r>
        <w:rPr>
          <w:color w:val="333333"/>
          <w:sz w:val="22"/>
        </w:rPr>
        <w:t>Pick a query type where BM25 must be in the funnel.</w:t>
      </w:r>
    </w:p>
    <w:p>
      <w:pPr>
        <w:pStyle w:val="ListBullet"/>
      </w:pPr>
      <w:r>
        <w:rPr>
          <w:color w:val="333333"/>
          <w:sz w:val="22"/>
        </w:rPr>
        <w:t>Why does RRF beat weighted-sum fusion in many cases?</w:t>
      </w:r>
    </w:p>
    <w:p>
      <w:pPr>
        <w:pStyle w:val="ListBullet"/>
      </w:pPr>
      <w:r>
        <w:rPr>
          <w:color w:val="333333"/>
          <w:sz w:val="22"/>
        </w:rPr>
        <w:t>What is the marginal benefit of ColBERT given a strong cross-encoder?</w:t>
      </w:r>
    </w:p>
    <w:p>
      <w:pPr>
        <w:pStyle w:val="ListBullet"/>
      </w:pPr>
      <w:r>
        <w:rPr>
          <w:color w:val="333333"/>
          <w:sz w:val="22"/>
        </w:rPr>
        <w:t>When can you drop the Matryoshka stage?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