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4 Research Paper Reading Guide</w:t>
      </w:r>
    </w:p>
    <w:p>
      <w:r>
        <w:rPr>
          <w:i/>
          <w:color w:val="333333"/>
          <w:sz w:val="28"/>
        </w:rPr>
        <w:t>Retrieval Funnel</w:t>
      </w:r>
    </w:p>
    <w:p>
      <w:r>
        <w:rPr>
          <w:i/>
          <w:color w:val="333333"/>
          <w:sz w:val="22"/>
        </w:rPr>
        <w:t>Read before Saturday's main session | Instructor: Pavan R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Framing for This Week</w:t>
      </w:r>
    </w:p>
    <w:p>
      <w:r>
        <w:rPr>
          <w:color w:val="333333"/>
          <w:sz w:val="22"/>
        </w:rPr>
        <w:t>Read in the order presented. The first paper establishes the foundational concept; subsequent papers add depth or contrast.</w:t>
      </w:r>
    </w:p>
    <w:p>
      <w:r>
        <w:rPr>
          <w:b/>
          <w:color w:val="1E2761"/>
          <w:sz w:val="32"/>
        </w:rPr>
        <w:t>Papers</w:t>
      </w:r>
    </w:p>
    <w:p>
      <w:r>
        <w:rPr>
          <w:b/>
          <w:color w:val="1E2761"/>
          <w:sz w:val="26"/>
        </w:rPr>
        <w:t>ColBERT: Efficient and Effective Passage Search via Contextualized Late Interaction</w:t>
      </w:r>
    </w:p>
    <w:p>
      <w:r>
        <w:rPr>
          <w:color w:val="333333"/>
          <w:sz w:val="22"/>
        </w:rPr>
        <w:t>Khattab and Zaharia, 2020 (arXiv:2004.12832).</w:t>
      </w:r>
    </w:p>
    <w:p>
      <w:r>
        <w:rPr>
          <w:b/>
          <w:color w:val="333333"/>
          <w:sz w:val="24"/>
        </w:rPr>
        <w:t>What to look for</w:t>
      </w:r>
    </w:p>
    <w:p>
      <w:pPr>
        <w:pStyle w:val="ListBullet"/>
      </w:pPr>
      <w:r>
        <w:rPr>
          <w:color w:val="333333"/>
          <w:sz w:val="22"/>
        </w:rPr>
        <w:t>Main claim in one sentence.</w:t>
      </w:r>
    </w:p>
    <w:p>
      <w:pPr>
        <w:pStyle w:val="ListBullet"/>
      </w:pPr>
      <w:r>
        <w:rPr>
          <w:color w:val="333333"/>
          <w:sz w:val="22"/>
        </w:rPr>
        <w:t>The experimental setup that supports the claim.</w:t>
      </w:r>
    </w:p>
    <w:p>
      <w:pPr>
        <w:pStyle w:val="ListBullet"/>
      </w:pPr>
      <w:r>
        <w:rPr>
          <w:color w:val="333333"/>
          <w:sz w:val="22"/>
        </w:rPr>
        <w:t>The one assumption you would challenge.</w:t>
      </w:r>
    </w:p>
    <w:p>
      <w:pPr>
        <w:pStyle w:val="ListBullet"/>
      </w:pPr>
      <w:r>
        <w:rPr>
          <w:color w:val="333333"/>
          <w:sz w:val="22"/>
        </w:rPr>
        <w:t>How the paper relates to this week's lab work.</w:t>
      </w:r>
    </w:p>
    <w:p>
      <w:r>
        <w:rPr>
          <w:b/>
          <w:color w:val="1E2761"/>
          <w:sz w:val="26"/>
        </w:rPr>
        <w:t>Matryoshka Representation Learning</w:t>
      </w:r>
    </w:p>
    <w:p>
      <w:r>
        <w:rPr>
          <w:color w:val="333333"/>
          <w:sz w:val="22"/>
        </w:rPr>
        <w:t>Kusupati et al., 2022 (arXiv:2205.13147).</w:t>
      </w:r>
    </w:p>
    <w:p>
      <w:r>
        <w:rPr>
          <w:b/>
          <w:color w:val="333333"/>
          <w:sz w:val="24"/>
        </w:rPr>
        <w:t>What to look for</w:t>
      </w:r>
    </w:p>
    <w:p>
      <w:pPr>
        <w:pStyle w:val="ListBullet"/>
      </w:pPr>
      <w:r>
        <w:rPr>
          <w:color w:val="333333"/>
          <w:sz w:val="22"/>
        </w:rPr>
        <w:t>Main claim in one sentence.</w:t>
      </w:r>
    </w:p>
    <w:p>
      <w:pPr>
        <w:pStyle w:val="ListBullet"/>
      </w:pPr>
      <w:r>
        <w:rPr>
          <w:color w:val="333333"/>
          <w:sz w:val="22"/>
        </w:rPr>
        <w:t>The experimental setup that supports the claim.</w:t>
      </w:r>
    </w:p>
    <w:p>
      <w:pPr>
        <w:pStyle w:val="ListBullet"/>
      </w:pPr>
      <w:r>
        <w:rPr>
          <w:color w:val="333333"/>
          <w:sz w:val="22"/>
        </w:rPr>
        <w:t>The one assumption you would challenge.</w:t>
      </w:r>
    </w:p>
    <w:p>
      <w:pPr>
        <w:pStyle w:val="ListBullet"/>
      </w:pPr>
      <w:r>
        <w:rPr>
          <w:color w:val="333333"/>
          <w:sz w:val="22"/>
        </w:rPr>
        <w:t>How the paper relates to this week's lab work.</w:t>
      </w:r>
    </w:p>
    <w:p>
      <w:r>
        <w:rPr>
          <w:b/>
          <w:color w:val="1E2761"/>
          <w:sz w:val="26"/>
        </w:rPr>
        <w:t>SPLADE: Sparse Lexical and Expansion Model for First Stage Ranking</w:t>
      </w:r>
    </w:p>
    <w:p>
      <w:r>
        <w:rPr>
          <w:color w:val="333333"/>
          <w:sz w:val="22"/>
        </w:rPr>
        <w:t>Formal et al., 2021 (arXiv:2107.05720).</w:t>
      </w:r>
    </w:p>
    <w:p>
      <w:r>
        <w:rPr>
          <w:b/>
          <w:color w:val="333333"/>
          <w:sz w:val="24"/>
        </w:rPr>
        <w:t>What to look for</w:t>
      </w:r>
    </w:p>
    <w:p>
      <w:pPr>
        <w:pStyle w:val="ListBullet"/>
      </w:pPr>
      <w:r>
        <w:rPr>
          <w:color w:val="333333"/>
          <w:sz w:val="22"/>
        </w:rPr>
        <w:t>Main claim in one sentence.</w:t>
      </w:r>
    </w:p>
    <w:p>
      <w:pPr>
        <w:pStyle w:val="ListBullet"/>
      </w:pPr>
      <w:r>
        <w:rPr>
          <w:color w:val="333333"/>
          <w:sz w:val="22"/>
        </w:rPr>
        <w:t>The experimental setup that supports the claim.</w:t>
      </w:r>
    </w:p>
    <w:p>
      <w:pPr>
        <w:pStyle w:val="ListBullet"/>
      </w:pPr>
      <w:r>
        <w:rPr>
          <w:color w:val="333333"/>
          <w:sz w:val="22"/>
        </w:rPr>
        <w:t>The one assumption you would challenge.</w:t>
      </w:r>
    </w:p>
    <w:p>
      <w:pPr>
        <w:pStyle w:val="ListBullet"/>
      </w:pPr>
      <w:r>
        <w:rPr>
          <w:color w:val="333333"/>
          <w:sz w:val="22"/>
        </w:rPr>
        <w:t>How the paper relates to this week's lab work.</w:t>
      </w:r>
    </w:p>
    <w:p>
      <w:r>
        <w:rPr>
          <w:b/>
          <w:color w:val="1E2761"/>
          <w:sz w:val="32"/>
        </w:rPr>
        <w:t>Discussion Questions</w:t>
      </w:r>
    </w:p>
    <w:p>
      <w:pPr>
        <w:pStyle w:val="ListBullet"/>
      </w:pPr>
      <w:r>
        <w:rPr>
          <w:color w:val="333333"/>
          <w:sz w:val="22"/>
        </w:rPr>
        <w:t>Which of these papers will still be relevant in 5 years? Which will not?</w:t>
      </w:r>
    </w:p>
    <w:p>
      <w:pPr>
        <w:pStyle w:val="ListBullet"/>
      </w:pPr>
      <w:r>
        <w:rPr>
          <w:color w:val="333333"/>
          <w:sz w:val="22"/>
        </w:rPr>
        <w:t>Pick one experimental setup choice the authors made. Suggest a better alternative.</w:t>
      </w:r>
    </w:p>
    <w:p>
      <w:pPr>
        <w:pStyle w:val="ListBullet"/>
      </w:pPr>
      <w:r>
        <w:rPr>
          <w:color w:val="333333"/>
          <w:sz w:val="22"/>
        </w:rPr>
        <w:t>What is the most expensive part of reproducing these results?</w:t>
      </w:r>
    </w:p>
    <w:p>
      <w:pPr>
        <w:pStyle w:val="ListBullet"/>
      </w:pPr>
      <w:r>
        <w:rPr>
          <w:color w:val="333333"/>
          <w:sz w:val="22"/>
        </w:rPr>
        <w:t>Connect the methods to a problem your team is solving in this week's project.</w:t>
      </w:r>
    </w:p>
    <w:p>
      <w:r>
        <w:rPr>
          <w:b/>
          <w:color w:val="1E2761"/>
          <w:sz w:val="32"/>
        </w:rPr>
        <w:t>Presenter Notes</w:t>
      </w:r>
    </w:p>
    <w:p>
      <w:r>
        <w:rPr>
          <w:color w:val="333333"/>
          <w:sz w:val="22"/>
        </w:rPr>
        <w:t>The assigned presenter leads a 15-minute walkthrough of one paper, followed by 20 minutes of group discussion. Strong opinions welcome, evidence required.</w:t>
      </w:r>
    </w:p>
    <w:p>
      <w:r>
        <w:rPr>
          <w:b/>
          <w:color w:val="1E2761"/>
          <w:sz w:val="32"/>
        </w:rPr>
        <w:t>Submission</w:t>
      </w:r>
    </w:p>
    <w:p>
      <w:pPr>
        <w:pStyle w:val="ListBullet"/>
      </w:pPr>
      <w:r>
        <w:rPr>
          <w:color w:val="333333"/>
          <w:sz w:val="22"/>
        </w:rPr>
        <w:t>Each student submits a 200-word reflection on Discord by Friday EOD.</w:t>
      </w:r>
    </w:p>
    <w:p>
      <w:pPr>
        <w:pStyle w:val="ListBullet"/>
      </w:pPr>
      <w:r>
        <w:rPr>
          <w:color w:val="333333"/>
          <w:sz w:val="22"/>
        </w:rPr>
        <w:t>Reflections feed into the Saturday discussion and the Tuesday quiz.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333333"/>
        <w:sz w:val="18"/>
      </w:rPr>
      <w:t>© 2026 Proxiant Academy | info@proxiant.com | proxiant.ai/training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