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Research Paper Reading Guide</w:t>
      </w:r>
    </w:p>
    <w:p>
      <w:r>
        <w:rPr>
          <w:i/>
          <w:color w:val="333333"/>
          <w:sz w:val="28"/>
        </w:rPr>
        <w:t>Graph-Based Retrieval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RAPTOR: Recursive Abstractive Processing for Tree-Organized Retrieval</w:t>
      </w:r>
    </w:p>
    <w:p>
      <w:r>
        <w:rPr>
          <w:color w:val="333333"/>
          <w:sz w:val="22"/>
        </w:rPr>
        <w:t>Sarthi et al., 2024 (arXiv:2401.18059).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From Local to Global: A Graph RAG Approach to Query-Focused Summarization</w:t>
      </w:r>
    </w:p>
    <w:p>
      <w:r>
        <w:rPr>
          <w:color w:val="333333"/>
          <w:sz w:val="22"/>
        </w:rPr>
        <w:t>Edge et al., 2024 (arXiv:2404.16130). The Microsoft GraphRAG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LightRAG: Simple and Fast Retrieval-Augmented Generation</w:t>
      </w:r>
    </w:p>
    <w:p>
      <w:r>
        <w:rPr>
          <w:color w:val="333333"/>
          <w:sz w:val="22"/>
        </w:rPr>
        <w:t>Guo et al., 2024 (arXiv:2410.05779).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