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Research Paper Reading Guide</w:t>
      </w:r>
    </w:p>
    <w:p>
      <w:r>
        <w:rPr>
          <w:i/>
          <w:color w:val="333333"/>
          <w:sz w:val="28"/>
        </w:rPr>
        <w:t>Evals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RAGAS: Automated Evaluation of Retrieval Augmented Generation</w:t>
      </w:r>
    </w:p>
    <w:p>
      <w:r>
        <w:rPr>
          <w:color w:val="333333"/>
          <w:sz w:val="22"/>
        </w:rPr>
        <w:t>Es et al., 2023 (arXiv:2309.15217).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Benchmarking Large Language Models in Retrieval-Augmented Generation</w:t>
      </w:r>
    </w:p>
    <w:p>
      <w:r>
        <w:rPr>
          <w:color w:val="333333"/>
          <w:sz w:val="22"/>
        </w:rPr>
        <w:t>Chen et al., 2023 (arXiv:2309.01431). The RGB benchmark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Judging LLM-as-a-Judge with MT-Bench and Chatbot Arena</w:t>
      </w:r>
    </w:p>
    <w:p>
      <w:r>
        <w:rPr>
          <w:color w:val="333333"/>
          <w:sz w:val="22"/>
        </w:rPr>
        <w:t>Zheng et al., 2023 (arXiv:2306.05685).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